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45B7BC4B" w14:textId="4F1A820F" w:rsidR="001B600F" w:rsidRPr="005E0FB2" w:rsidRDefault="005E0FB2" w:rsidP="001B600F">
      <w:pPr>
        <w:jc w:val="center"/>
        <w:rPr>
          <w:b/>
          <w:bCs/>
          <w:lang w:val="en-GB"/>
        </w:rPr>
      </w:pPr>
      <w:r w:rsidRPr="005E0FB2">
        <w:rPr>
          <w:b/>
          <w:bCs/>
          <w:lang w:val="en-GB"/>
        </w:rPr>
        <w:t>Exploring the Epistemic Implications of Paraconsistent Logic</w:t>
      </w:r>
    </w:p>
    <w:p w14:paraId="39EB3F0B" w14:textId="2B292E9C" w:rsidR="001B600F" w:rsidRPr="001B600F" w:rsidRDefault="001B600F" w:rsidP="001B600F">
      <w:pPr>
        <w:jc w:val="center"/>
        <w:rPr>
          <w:lang w:val="en-GB"/>
        </w:rPr>
      </w:pPr>
      <w:r>
        <w:rPr>
          <w:lang w:val="en-GB"/>
        </w:rPr>
        <w:t>John Doe</w:t>
      </w:r>
    </w:p>
    <w:p w14:paraId="10DE50B5" w14:textId="2679B37E" w:rsidR="001B600F" w:rsidRPr="001B600F" w:rsidRDefault="001B600F" w:rsidP="001B600F">
      <w:pPr>
        <w:jc w:val="center"/>
        <w:rPr>
          <w:lang w:val="en-GB"/>
        </w:rPr>
      </w:pPr>
      <w:r w:rsidRPr="001B600F">
        <w:rPr>
          <w:lang w:val="en-GB"/>
        </w:rPr>
        <w:t xml:space="preserve">University of </w:t>
      </w:r>
      <w:r>
        <w:rPr>
          <w:lang w:val="en-GB"/>
        </w:rPr>
        <w:t>Nowhere Land</w:t>
      </w:r>
      <w:r w:rsidRPr="001B600F">
        <w:rPr>
          <w:lang w:val="en-GB"/>
        </w:rPr>
        <w:t xml:space="preserve">, </w:t>
      </w:r>
      <w:r w:rsidR="00A2237B">
        <w:rPr>
          <w:lang w:val="en-GB"/>
        </w:rPr>
        <w:t>UK</w:t>
      </w:r>
    </w:p>
    <w:p w14:paraId="3BCADCB6" w14:textId="0610EC4C" w:rsidR="001B600F" w:rsidRDefault="00000000" w:rsidP="001B600F">
      <w:pPr>
        <w:jc w:val="center"/>
        <w:rPr>
          <w:lang w:val="en-GB"/>
        </w:rPr>
      </w:pPr>
      <w:hyperlink r:id="rId4" w:history="1">
        <w:r w:rsidR="005E0FB2" w:rsidRPr="000B6EB4">
          <w:rPr>
            <w:rStyle w:val="Hyperlink"/>
            <w:lang w:val="en-GB"/>
          </w:rPr>
          <w:t>john.doe@nowhere-land.edu.pe</w:t>
        </w:r>
      </w:hyperlink>
    </w:p>
    <w:p w14:paraId="5B0D8CAE" w14:textId="2CDD3E4E" w:rsidR="005E0FB2" w:rsidRPr="001B600F" w:rsidRDefault="00000000" w:rsidP="001B600F">
      <w:pPr>
        <w:jc w:val="center"/>
        <w:rPr>
          <w:lang w:val="en-GB"/>
        </w:rPr>
      </w:pPr>
      <w:hyperlink r:id="rId5" w:history="1">
        <w:r w:rsidR="005E0FB2" w:rsidRPr="000B6EB4">
          <w:rPr>
            <w:rStyle w:val="Hyperlink"/>
            <w:lang w:val="en-GB"/>
          </w:rPr>
          <w:t>https://john-doe.com</w:t>
        </w:r>
      </w:hyperlink>
    </w:p>
    <w:p w14:paraId="47FA88B6" w14:textId="77777777" w:rsidR="001B600F" w:rsidRPr="001B600F" w:rsidRDefault="001B600F" w:rsidP="001B600F">
      <w:pPr>
        <w:rPr>
          <w:lang w:val="en-GB"/>
        </w:rPr>
      </w:pPr>
    </w:p>
    <w:p w14:paraId="0E266C83" w14:textId="3447B163" w:rsidR="005E0FB2" w:rsidRPr="001B600F" w:rsidRDefault="005E0FB2" w:rsidP="001B600F">
      <w:pPr>
        <w:rPr>
          <w:lang w:val="en-GB"/>
        </w:rPr>
      </w:pPr>
      <w:r>
        <w:rPr>
          <w:lang w:val="en-GB"/>
        </w:rPr>
        <w:t xml:space="preserve">In this </w:t>
      </w:r>
      <w:r w:rsidRPr="005E0FB2">
        <w:rPr>
          <w:lang w:val="en-GB"/>
        </w:rPr>
        <w:t>talk</w:t>
      </w:r>
      <w:r>
        <w:rPr>
          <w:lang w:val="en-GB"/>
        </w:rPr>
        <w:t>, we</w:t>
      </w:r>
      <w:r w:rsidRPr="005E0FB2">
        <w:rPr>
          <w:lang w:val="en-GB"/>
        </w:rPr>
        <w:t xml:space="preserve"> delve into the epistemic implications of paraconsistent logic, unravelling the intricate relationship between contradiction, truth, and knowledge. Drawing upon philosophical insights and logical frameworks, this presentation seeks to shed light on the nature of reasoning and its limitations in the face of paradoxes.</w:t>
      </w:r>
      <w:r>
        <w:rPr>
          <w:lang w:val="en-GB"/>
        </w:rPr>
        <w:t xml:space="preserve"> We start by </w:t>
      </w:r>
      <w:r w:rsidRPr="005E0FB2">
        <w:rPr>
          <w:lang w:val="en-GB"/>
        </w:rPr>
        <w:t>explor</w:t>
      </w:r>
      <w:r>
        <w:rPr>
          <w:lang w:val="en-GB"/>
        </w:rPr>
        <w:t xml:space="preserve">ing </w:t>
      </w:r>
      <w:r w:rsidRPr="005E0FB2">
        <w:rPr>
          <w:lang w:val="en-GB"/>
        </w:rPr>
        <w:t xml:space="preserve">the historical underpinnings of paraconsistent logic, referencing foundational works by </w:t>
      </w:r>
      <w:r w:rsidR="00157FCE">
        <w:rPr>
          <w:lang w:val="en-GB"/>
        </w:rPr>
        <w:t xml:space="preserve">Newton </w:t>
      </w:r>
      <w:r w:rsidRPr="005E0FB2">
        <w:rPr>
          <w:lang w:val="en-GB"/>
        </w:rPr>
        <w:t>da Costa</w:t>
      </w:r>
      <w:r w:rsidR="00157FCE">
        <w:rPr>
          <w:lang w:val="en-GB"/>
        </w:rPr>
        <w:t xml:space="preserve"> and </w:t>
      </w:r>
      <w:r w:rsidR="00157FCE" w:rsidRPr="005E0FB2">
        <w:rPr>
          <w:lang w:val="en-GB"/>
        </w:rPr>
        <w:t xml:space="preserve">Graham Priest </w:t>
      </w:r>
      <w:r w:rsidR="00157FCE">
        <w:rPr>
          <w:lang w:val="en-GB"/>
        </w:rPr>
        <w:t>[2]</w:t>
      </w:r>
      <w:r w:rsidRPr="005E0FB2">
        <w:rPr>
          <w:lang w:val="en-GB"/>
        </w:rPr>
        <w:t>. Through critical analysis and engagement with their seminal contributions, this talk examines the paradoxes that arise from the acceptance of contradictions within logical systems and their repercussions on our understanding of truth and knowledge.</w:t>
      </w:r>
      <w:r>
        <w:rPr>
          <w:lang w:val="en-GB"/>
        </w:rPr>
        <w:t xml:space="preserve"> </w:t>
      </w:r>
      <w:r w:rsidRPr="005E0FB2">
        <w:rPr>
          <w:lang w:val="en-GB"/>
        </w:rPr>
        <w:t>Moreover, this presentation investigates the philosophical dimensions of paraconsistent logic, as expounded by thinkers like Koji Tanaka</w:t>
      </w:r>
      <w:r w:rsidR="00157FCE">
        <w:rPr>
          <w:lang w:val="en-GB"/>
        </w:rPr>
        <w:t xml:space="preserve"> [3]</w:t>
      </w:r>
      <w:r w:rsidRPr="005E0FB2">
        <w:rPr>
          <w:lang w:val="en-GB"/>
        </w:rPr>
        <w:t>. By integrating various perspectives, it examines the implications of paraconsistent reasoning for our epistemic endeavours, addressing questions concerning the scope and boundaries of human knowledge.</w:t>
      </w:r>
      <w:r>
        <w:rPr>
          <w:lang w:val="en-GB"/>
        </w:rPr>
        <w:t xml:space="preserve"> </w:t>
      </w:r>
      <w:r w:rsidRPr="005E0FB2">
        <w:rPr>
          <w:lang w:val="en-GB"/>
        </w:rPr>
        <w:t xml:space="preserve">By the end of this talk, </w:t>
      </w:r>
      <w:r>
        <w:rPr>
          <w:lang w:val="en-GB"/>
        </w:rPr>
        <w:t xml:space="preserve">we </w:t>
      </w:r>
      <w:r w:rsidRPr="005E0FB2">
        <w:rPr>
          <w:lang w:val="en-GB"/>
        </w:rPr>
        <w:t>will understand</w:t>
      </w:r>
      <w:r>
        <w:rPr>
          <w:lang w:val="en-GB"/>
        </w:rPr>
        <w:t xml:space="preserve"> </w:t>
      </w:r>
      <w:r w:rsidRPr="005E0FB2">
        <w:rPr>
          <w:lang w:val="en-GB"/>
        </w:rPr>
        <w:t>the challenges posed by contradictions within logical systems and their impact on our pursuit of truth. Equipped with this knowledge, participants will be better equipped to navigate the intricacies of paraconsistent reasoning, fostering a deeper appreciation for the complexities that lie at the intersection of logic and epistemology.</w:t>
      </w:r>
    </w:p>
    <w:p w14:paraId="499B6B5C" w14:textId="5540E68F" w:rsidR="005E0FB2" w:rsidRPr="005E0FB2" w:rsidRDefault="001B600F" w:rsidP="005E0FB2">
      <w:pPr>
        <w:rPr>
          <w:b/>
          <w:bCs/>
          <w:lang w:val="en-GB"/>
        </w:rPr>
      </w:pPr>
      <w:r w:rsidRPr="005E0FB2">
        <w:rPr>
          <w:b/>
          <w:bCs/>
          <w:lang w:val="en-GB"/>
        </w:rPr>
        <w:t>Bibliography</w:t>
      </w:r>
    </w:p>
    <w:p w14:paraId="47BF61B5" w14:textId="0A929369" w:rsidR="005E0FB2" w:rsidRPr="005E0FB2" w:rsidRDefault="00157FCE" w:rsidP="005E0FB2">
      <w:pPr>
        <w:rPr>
          <w:lang w:val="en-GB"/>
        </w:rPr>
      </w:pPr>
      <w:r>
        <w:rPr>
          <w:lang w:val="en-GB"/>
        </w:rPr>
        <w:t xml:space="preserve">[1] </w:t>
      </w:r>
      <w:r w:rsidR="005E0FB2" w:rsidRPr="005E0FB2">
        <w:rPr>
          <w:lang w:val="en-GB"/>
        </w:rPr>
        <w:t>da Costa, N. C. A., &amp; Dubois, D. (1994). Paraconsistent logic: Consistency, contradiction, and negation. Logic Journal of the IGPL, 2(5), 657-696.</w:t>
      </w:r>
    </w:p>
    <w:p w14:paraId="5DCDA32A" w14:textId="0BA4B4EE" w:rsidR="00157FCE" w:rsidRPr="005E0FB2" w:rsidRDefault="00157FCE" w:rsidP="00157FCE">
      <w:pPr>
        <w:rPr>
          <w:lang w:val="en-GB"/>
        </w:rPr>
      </w:pPr>
      <w:r>
        <w:rPr>
          <w:lang w:val="en-GB"/>
        </w:rPr>
        <w:t xml:space="preserve">[2] </w:t>
      </w:r>
      <w:r w:rsidRPr="005E0FB2">
        <w:rPr>
          <w:lang w:val="en-GB"/>
        </w:rPr>
        <w:t>Priest, G. (2006). In Contradiction: A Study of the Transconsistent (2nd ed.). Oxford University Press.</w:t>
      </w:r>
    </w:p>
    <w:p w14:paraId="1C4A32AA" w14:textId="6743B63F" w:rsidR="00A34A0B" w:rsidRPr="001B600F" w:rsidRDefault="00157FCE">
      <w:pPr>
        <w:rPr>
          <w:lang w:val="en-GB"/>
        </w:rPr>
      </w:pPr>
      <w:r>
        <w:rPr>
          <w:lang w:val="en-GB"/>
        </w:rPr>
        <w:t xml:space="preserve">[3] </w:t>
      </w:r>
      <w:r w:rsidR="005E0FB2" w:rsidRPr="005E0FB2">
        <w:rPr>
          <w:lang w:val="en-GB"/>
        </w:rPr>
        <w:t>Tanaka, K. (2002). Paraconsistent logic in retrospect. Studia Logica, 71(1), 93-104.</w:t>
      </w:r>
    </w:p>
    <w:sectPr w:rsidR="00A34A0B" w:rsidRPr="001B600F">
      <w:pgSz w:w="595.30pt" w:h="841.90pt"/>
      <w:pgMar w:top="70.85pt" w:right="85.05pt" w:bottom="70.85pt" w:left="85.05pt" w:header="35.40pt" w:footer="35.40pt" w:gutter="0pt"/>
      <w:cols w:space="35.40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characterSet="iso-8859-1"/>
    <w:family w:val="swiss"/>
    <w:pitch w:val="variable"/>
    <w:sig w:usb0="E4002EFF" w:usb1="C0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5.40pt"/>
  <w:hyphenationZone w:val="21.25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00F"/>
    <w:rsid w:val="00157FCE"/>
    <w:rsid w:val="001B600F"/>
    <w:rsid w:val="002B6FD1"/>
    <w:rsid w:val="005E0FB2"/>
    <w:rsid w:val="006E2589"/>
    <w:rsid w:val="00722CEB"/>
    <w:rsid w:val="00A2237B"/>
    <w:rsid w:val="00A34A0B"/>
    <w:rsid w:val="00F2675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ecimalSymbol w:val="."/>
  <w:listSeparator w:val=","/>
  <w14:docId w14:val="705CCCFB"/>
  <w15:chartTrackingRefBased/>
  <w15:docId w15:val="{E5057FF9-A26D-4625-BFB9-B3B32A236086}"/>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00F"/>
    <w:pPr>
      <w:keepNext/>
      <w:keepLines/>
      <w:spacing w:before="12pt" w:after="0pt"/>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E0FB2"/>
    <w:rPr>
      <w:color w:val="0563C1" w:themeColor="hyperlink"/>
      <w:u w:val="single"/>
    </w:rPr>
  </w:style>
  <w:style w:type="character" w:styleId="UnresolvedMention">
    <w:name w:val="Unresolved Mention"/>
    <w:basedOn w:val="DefaultParagraphFont"/>
    <w:uiPriority w:val="99"/>
    <w:semiHidden/>
    <w:unhideWhenUsed/>
    <w:rsid w:val="005E0FB2"/>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purl.oclc.org/ooxml/officeDocument/relationships/webSettings" Target="webSettings.xml"/><Relationship Id="rId7" Type="http://purl.oclc.org/ooxml/officeDocument/relationships/theme" Target="theme/theme1.xml"/><Relationship Id="rId2" Type="http://purl.oclc.org/ooxml/officeDocument/relationships/settings" Target="settings.xml"/><Relationship Id="rId1" Type="http://purl.oclc.org/ooxml/officeDocument/relationships/styles" Target="styles.xml"/><Relationship Id="rId6" Type="http://purl.oclc.org/ooxml/officeDocument/relationships/fontTable" Target="fontTable.xml"/><Relationship Id="rId5" Type="http://purl.oclc.org/ooxml/officeDocument/relationships/hyperlink" Target="https://john-doe.com" TargetMode="External"/><Relationship Id="rId4" Type="http://purl.oclc.org/ooxml/officeDocument/relationships/hyperlink" Target="mailto:john.doe@nowhere-land.edu.p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9</TotalTime>
  <Pages>1</Pages>
  <Words>316</Words>
  <Characters>1741</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Felipe Bartolo Alegre</dc:creator>
  <cp:keywords/>
  <dc:description/>
  <cp:lastModifiedBy>Luis Felipe Bartolo Alegre</cp:lastModifiedBy>
  <cp:revision>5</cp:revision>
  <dcterms:created xsi:type="dcterms:W3CDTF">2023-06-16T17:51:00Z</dcterms:created>
  <dcterms:modified xsi:type="dcterms:W3CDTF">2023-06-16T18:03:00Z</dcterms:modified>
</cp:coreProperties>
</file>