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90C" w:rsidRPr="0018790C" w:rsidRDefault="0018790C" w:rsidP="0018790C">
      <w:pPr>
        <w:rPr>
          <w:rFonts w:ascii="Garamond" w:eastAsia="Times New Roman" w:hAnsi="Garamond" w:cs="Times New Roman"/>
          <w:sz w:val="20"/>
          <w:szCs w:val="20"/>
          <w:lang w:val="en-GB"/>
        </w:rPr>
      </w:pPr>
      <w:r w:rsidRPr="0018790C">
        <w:rPr>
          <w:rFonts w:ascii="Garamond" w:eastAsia="Times New Roman" w:hAnsi="Garamond" w:cs="Times New Roman"/>
          <w:sz w:val="20"/>
          <w:szCs w:val="20"/>
          <w:lang w:val="en-GB"/>
        </w:rPr>
        <w:br/>
      </w:r>
      <w:r w:rsidRPr="0018790C">
        <w:rPr>
          <w:rFonts w:ascii="Garamond" w:hAnsi="Garamond" w:cs="Arial"/>
          <w:b/>
          <w:bCs/>
          <w:color w:val="000000"/>
          <w:sz w:val="23"/>
          <w:szCs w:val="23"/>
          <w:lang w:val="en-GB"/>
        </w:rPr>
        <w:t xml:space="preserve">Lorraine </w:t>
      </w:r>
      <w:proofErr w:type="spellStart"/>
      <w:r w:rsidRPr="0018790C">
        <w:rPr>
          <w:rFonts w:ascii="Garamond" w:hAnsi="Garamond" w:cs="Arial"/>
          <w:b/>
          <w:bCs/>
          <w:color w:val="000000"/>
          <w:sz w:val="23"/>
          <w:szCs w:val="23"/>
          <w:lang w:val="en-GB"/>
        </w:rPr>
        <w:t>Julliano</w:t>
      </w:r>
      <w:proofErr w:type="spellEnd"/>
      <w:r w:rsidRPr="0018790C">
        <w:rPr>
          <w:rFonts w:ascii="Garamond" w:hAnsi="Garamond" w:cs="Arial"/>
          <w:b/>
          <w:bCs/>
          <w:color w:val="000000"/>
          <w:sz w:val="23"/>
          <w:szCs w:val="23"/>
          <w:lang w:val="en-GB"/>
        </w:rPr>
        <w:t>-Keller, ‘Against Naturalised Propositions’</w:t>
      </w:r>
      <w:r w:rsidRPr="0018790C">
        <w:rPr>
          <w:rFonts w:ascii="Garamond" w:hAnsi="Garamond" w:cs="Arial"/>
          <w:color w:val="000000"/>
          <w:sz w:val="23"/>
          <w:szCs w:val="23"/>
          <w:lang w:val="en-GB"/>
        </w:rPr>
        <w:t>:</w:t>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On the traditional conception, propositions are non-derivatively representational bearers of truth and falsity, while (some) mental and linguistic entities represent and have truth-conditions in virtue of having propositions as their contents. In recent work, Scott </w:t>
      </w:r>
      <w:proofErr w:type="spellStart"/>
      <w:r w:rsidRPr="0018790C">
        <w:rPr>
          <w:rFonts w:ascii="Garamond" w:hAnsi="Garamond" w:cs="Arial"/>
          <w:color w:val="000000"/>
          <w:sz w:val="23"/>
          <w:szCs w:val="23"/>
          <w:lang w:val="en-GB"/>
        </w:rPr>
        <w:t>Soames</w:t>
      </w:r>
      <w:proofErr w:type="spellEnd"/>
      <w:r w:rsidRPr="0018790C">
        <w:rPr>
          <w:rFonts w:ascii="Garamond" w:hAnsi="Garamond" w:cs="Arial"/>
          <w:color w:val="000000"/>
          <w:sz w:val="23"/>
          <w:szCs w:val="23"/>
          <w:lang w:val="en-GB"/>
        </w:rPr>
        <w:t xml:space="preserve">, Jeff King and others reject the traditional conception in </w:t>
      </w:r>
      <w:proofErr w:type="spellStart"/>
      <w:r w:rsidRPr="0018790C">
        <w:rPr>
          <w:rFonts w:ascii="Garamond" w:hAnsi="Garamond" w:cs="Arial"/>
          <w:color w:val="000000"/>
          <w:sz w:val="23"/>
          <w:szCs w:val="23"/>
          <w:lang w:val="en-GB"/>
        </w:rPr>
        <w:t>favor</w:t>
      </w:r>
      <w:proofErr w:type="spellEnd"/>
      <w:r w:rsidRPr="0018790C">
        <w:rPr>
          <w:rFonts w:ascii="Garamond" w:hAnsi="Garamond" w:cs="Arial"/>
          <w:color w:val="000000"/>
          <w:sz w:val="23"/>
          <w:szCs w:val="23"/>
          <w:lang w:val="en-GB"/>
        </w:rPr>
        <w:t xml:space="preserve"> of naturalized propositions, which derive their representational properties from their relation to (presumably) non-derivatively representational mental phenomena. Proponents of naturalized propositions argue that their view is to be preferred to the traditional conception because it can explain the representational properties of propositions. In this paper, I argue that </w:t>
      </w:r>
      <w:proofErr w:type="spellStart"/>
      <w:r w:rsidRPr="0018790C">
        <w:rPr>
          <w:rFonts w:ascii="Garamond" w:hAnsi="Garamond" w:cs="Arial"/>
          <w:color w:val="000000"/>
          <w:sz w:val="23"/>
          <w:szCs w:val="23"/>
          <w:lang w:val="en-GB"/>
        </w:rPr>
        <w:t>Soames</w:t>
      </w:r>
      <w:proofErr w:type="spellEnd"/>
      <w:r w:rsidRPr="0018790C">
        <w:rPr>
          <w:rFonts w:ascii="Garamond" w:hAnsi="Garamond" w:cs="Arial"/>
          <w:color w:val="000000"/>
          <w:sz w:val="23"/>
          <w:szCs w:val="23"/>
          <w:lang w:val="en-GB"/>
        </w:rPr>
        <w:t>, King, et al. have not provided us with a good reason to prefer their “naturalistic” theories to the traditional conception, which takes the representational properties of propositions as brute, since their theories fail to explain these representational properties. I also argue that it is a substantial cost of the view that naturalized propositions cannot play some of the fundamental roles that propositions were originally posited to play.</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proofErr w:type="spellStart"/>
      <w:r w:rsidRPr="0018790C">
        <w:rPr>
          <w:rFonts w:ascii="Garamond" w:hAnsi="Garamond" w:cs="Arial"/>
          <w:b/>
          <w:bCs/>
          <w:color w:val="000000"/>
          <w:sz w:val="23"/>
          <w:szCs w:val="23"/>
          <w:lang w:val="en-GB"/>
        </w:rPr>
        <w:t>Friedrike</w:t>
      </w:r>
      <w:proofErr w:type="spellEnd"/>
      <w:r w:rsidRPr="0018790C">
        <w:rPr>
          <w:rFonts w:ascii="Garamond" w:hAnsi="Garamond" w:cs="Arial"/>
          <w:b/>
          <w:bCs/>
          <w:color w:val="000000"/>
          <w:sz w:val="23"/>
          <w:szCs w:val="23"/>
          <w:lang w:val="en-GB"/>
        </w:rPr>
        <w:t xml:space="preserve"> </w:t>
      </w:r>
      <w:proofErr w:type="spellStart"/>
      <w:r w:rsidRPr="0018790C">
        <w:rPr>
          <w:rFonts w:ascii="Garamond" w:hAnsi="Garamond" w:cs="Arial"/>
          <w:b/>
          <w:bCs/>
          <w:color w:val="000000"/>
          <w:sz w:val="23"/>
          <w:szCs w:val="23"/>
          <w:lang w:val="en-GB"/>
        </w:rPr>
        <w:t>Moltmann</w:t>
      </w:r>
      <w:proofErr w:type="spellEnd"/>
      <w:r w:rsidRPr="0018790C">
        <w:rPr>
          <w:rFonts w:ascii="Garamond" w:hAnsi="Garamond" w:cs="Arial"/>
          <w:b/>
          <w:bCs/>
          <w:color w:val="000000"/>
          <w:sz w:val="23"/>
          <w:szCs w:val="23"/>
          <w:lang w:val="en-GB"/>
        </w:rPr>
        <w:t>, ‘Cognitive Products and the Semantics of 'that-'Clauses’:</w:t>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I will defend the view that what should play the role of propositions are '</w:t>
      </w:r>
      <w:proofErr w:type="spellStart"/>
      <w:r w:rsidRPr="0018790C">
        <w:rPr>
          <w:rFonts w:ascii="Garamond" w:hAnsi="Garamond" w:cs="Arial"/>
          <w:color w:val="000000"/>
          <w:sz w:val="23"/>
          <w:szCs w:val="23"/>
          <w:lang w:val="en-GB"/>
        </w:rPr>
        <w:t>cognitve</w:t>
      </w:r>
      <w:proofErr w:type="spellEnd"/>
      <w:r w:rsidRPr="0018790C">
        <w:rPr>
          <w:rFonts w:ascii="Garamond" w:hAnsi="Garamond" w:cs="Arial"/>
          <w:color w:val="000000"/>
          <w:sz w:val="23"/>
          <w:szCs w:val="23"/>
          <w:lang w:val="en-GB"/>
        </w:rPr>
        <w:t xml:space="preserve"> products' of attitudes (or kinds of them), such as thoughts, beliefs, judgments, and claims, as opposed to acts of thinking, states of believing, acts of judging, and acts of claiming. I will outline a novel semantic analysis of attitude reports based on cognitive products on which that-causes serve to characterize the product of the described event or state in a flexible and context-dependent manner and in a variety of ways, ranging from 'measuring' its truth conditions to specifying its component products (referential and </w:t>
      </w:r>
      <w:proofErr w:type="spellStart"/>
      <w:r w:rsidRPr="0018790C">
        <w:rPr>
          <w:rFonts w:ascii="Garamond" w:hAnsi="Garamond" w:cs="Arial"/>
          <w:color w:val="000000"/>
          <w:sz w:val="23"/>
          <w:szCs w:val="23"/>
          <w:lang w:val="en-GB"/>
        </w:rPr>
        <w:t>predicational</w:t>
      </w:r>
      <w:proofErr w:type="spellEnd"/>
      <w:r w:rsidRPr="0018790C">
        <w:rPr>
          <w:rFonts w:ascii="Garamond" w:hAnsi="Garamond" w:cs="Arial"/>
          <w:color w:val="000000"/>
          <w:sz w:val="23"/>
          <w:szCs w:val="23"/>
          <w:lang w:val="en-GB"/>
        </w:rPr>
        <w:t xml:space="preserve"> products) to specifying the lower-level linguistic products that may form part of its composition, such as phonological and morphological products. </w:t>
      </w:r>
      <w:proofErr w:type="gramStart"/>
      <w:r w:rsidRPr="0018790C">
        <w:rPr>
          <w:rFonts w:ascii="Garamond" w:hAnsi="Garamond" w:cs="Arial"/>
          <w:color w:val="000000"/>
          <w:sz w:val="23"/>
          <w:szCs w:val="23"/>
          <w:lang w:val="en-GB"/>
        </w:rPr>
        <w:t xml:space="preserve">This analysis </w:t>
      </w:r>
      <w:proofErr w:type="spellStart"/>
      <w:r w:rsidRPr="0018790C">
        <w:rPr>
          <w:rFonts w:ascii="Garamond" w:hAnsi="Garamond" w:cs="Arial"/>
          <w:color w:val="000000"/>
          <w:sz w:val="23"/>
          <w:szCs w:val="23"/>
          <w:lang w:val="en-GB"/>
        </w:rPr>
        <w:t>incoporates</w:t>
      </w:r>
      <w:proofErr w:type="spellEnd"/>
      <w:r w:rsidRPr="0018790C">
        <w:rPr>
          <w:rFonts w:ascii="Garamond" w:hAnsi="Garamond" w:cs="Arial"/>
          <w:color w:val="000000"/>
          <w:sz w:val="23"/>
          <w:szCs w:val="23"/>
          <w:lang w:val="en-GB"/>
        </w:rPr>
        <w:t xml:space="preserve"> a novel and unified account of quotation, especially direct and mixed quotation.</w:t>
      </w:r>
      <w:proofErr w:type="gramEnd"/>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b/>
          <w:bCs/>
          <w:color w:val="000000"/>
          <w:sz w:val="23"/>
          <w:szCs w:val="23"/>
          <w:lang w:val="en-GB"/>
        </w:rPr>
        <w:t xml:space="preserve">Scott </w:t>
      </w:r>
      <w:proofErr w:type="spellStart"/>
      <w:r w:rsidRPr="0018790C">
        <w:rPr>
          <w:rFonts w:ascii="Garamond" w:hAnsi="Garamond" w:cs="Arial"/>
          <w:b/>
          <w:bCs/>
          <w:color w:val="000000"/>
          <w:sz w:val="23"/>
          <w:szCs w:val="23"/>
          <w:lang w:val="en-GB"/>
        </w:rPr>
        <w:t>Soames</w:t>
      </w:r>
      <w:proofErr w:type="spellEnd"/>
      <w:r w:rsidRPr="0018790C">
        <w:rPr>
          <w:rFonts w:ascii="Garamond" w:hAnsi="Garamond" w:cs="Arial"/>
          <w:b/>
          <w:bCs/>
          <w:color w:val="000000"/>
          <w:sz w:val="23"/>
          <w:szCs w:val="23"/>
          <w:lang w:val="en-GB"/>
        </w:rPr>
        <w:t>, ‘Objections’:</w:t>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I will assume familiarity with the arguments for propositions as purely representational acts given in Rethinking Language, Mind, and Meaning, “Cognitive Propositions,” and “Propositions as Cognitive Acts.” After touching on its central points, (</w:t>
      </w:r>
      <w:proofErr w:type="spellStart"/>
      <w:r w:rsidRPr="0018790C">
        <w:rPr>
          <w:rFonts w:ascii="Garamond" w:hAnsi="Garamond" w:cs="Arial"/>
          <w:color w:val="000000"/>
          <w:sz w:val="23"/>
          <w:szCs w:val="23"/>
          <w:lang w:val="en-GB"/>
        </w:rPr>
        <w:t>i</w:t>
      </w:r>
      <w:proofErr w:type="spellEnd"/>
      <w:r w:rsidRPr="0018790C">
        <w:rPr>
          <w:rFonts w:ascii="Garamond" w:hAnsi="Garamond" w:cs="Arial"/>
          <w:color w:val="000000"/>
          <w:sz w:val="23"/>
          <w:szCs w:val="23"/>
          <w:lang w:val="en-GB"/>
        </w:rPr>
        <w:t xml:space="preserve">-vii), I will consider some potential objections. </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w:t>
      </w:r>
      <w:proofErr w:type="spellStart"/>
      <w:r w:rsidRPr="0018790C">
        <w:rPr>
          <w:rFonts w:ascii="Garamond" w:hAnsi="Garamond" w:cs="Arial"/>
          <w:color w:val="000000"/>
          <w:sz w:val="23"/>
          <w:szCs w:val="23"/>
          <w:lang w:val="en-GB"/>
        </w:rPr>
        <w:t>i</w:t>
      </w:r>
      <w:proofErr w:type="spellEnd"/>
      <w:r w:rsidRPr="0018790C">
        <w:rPr>
          <w:rFonts w:ascii="Garamond" w:hAnsi="Garamond" w:cs="Arial"/>
          <w:color w:val="000000"/>
          <w:sz w:val="23"/>
          <w:szCs w:val="23"/>
          <w:lang w:val="en-GB"/>
        </w:rPr>
        <w:t xml:space="preserve">) Propositions have truth conditions because they represent things as being various ways. </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(ii) Although propositions are the primary bearers of truth, they are not the primary bearers of intentionality. Propositions represent things as being various ways because agents do.</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(iii) One can entertain, believe, and know a proposition without cognizing it. The ability to know things about propositions, and to ascribe propositional attitudes to oneself and others, presupposes the further ability to predicate properties and relations of them, which requires the ability to make one’s own cognitions objects of awareness.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proofErr w:type="gramStart"/>
      <w:r w:rsidRPr="0018790C">
        <w:rPr>
          <w:rFonts w:ascii="Garamond" w:hAnsi="Garamond" w:cs="Arial"/>
          <w:color w:val="000000"/>
          <w:sz w:val="23"/>
          <w:szCs w:val="23"/>
          <w:lang w:val="en-GB"/>
        </w:rPr>
        <w:t>(iv) Propositions</w:t>
      </w:r>
      <w:proofErr w:type="gramEnd"/>
      <w:r w:rsidRPr="0018790C">
        <w:rPr>
          <w:rFonts w:ascii="Garamond" w:hAnsi="Garamond" w:cs="Arial"/>
          <w:color w:val="000000"/>
          <w:sz w:val="23"/>
          <w:szCs w:val="23"/>
          <w:lang w:val="en-GB"/>
        </w:rPr>
        <w:t xml:space="preserve"> are not constructed from truth and world-states, taken as primitives, (as in possible worlds semantics). Rather, given propositions (as acts that represent things as being certain ways), we define truth, property, and world-state.</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(v) Language is the most natural vehicle for expressing propositions, but propositions, which are also the stuff of </w:t>
      </w:r>
      <w:proofErr w:type="spellStart"/>
      <w:r w:rsidRPr="0018790C">
        <w:rPr>
          <w:rFonts w:ascii="Garamond" w:hAnsi="Garamond" w:cs="Arial"/>
          <w:color w:val="000000"/>
          <w:sz w:val="23"/>
          <w:szCs w:val="23"/>
          <w:lang w:val="en-GB"/>
        </w:rPr>
        <w:t>nonlinguistic</w:t>
      </w:r>
      <w:proofErr w:type="spellEnd"/>
      <w:r w:rsidRPr="0018790C">
        <w:rPr>
          <w:rFonts w:ascii="Garamond" w:hAnsi="Garamond" w:cs="Arial"/>
          <w:color w:val="000000"/>
          <w:sz w:val="23"/>
          <w:szCs w:val="23"/>
          <w:lang w:val="en-GB"/>
        </w:rPr>
        <w:t xml:space="preserve"> cognition, aren’t tied to language.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proofErr w:type="gramStart"/>
      <w:r w:rsidRPr="0018790C">
        <w:rPr>
          <w:rFonts w:ascii="Garamond" w:hAnsi="Garamond" w:cs="Arial"/>
          <w:color w:val="000000"/>
          <w:sz w:val="23"/>
          <w:szCs w:val="23"/>
          <w:lang w:val="en-GB"/>
        </w:rPr>
        <w:t>(vi) Understanding</w:t>
      </w:r>
      <w:proofErr w:type="gramEnd"/>
      <w:r w:rsidRPr="0018790C">
        <w:rPr>
          <w:rFonts w:ascii="Garamond" w:hAnsi="Garamond" w:cs="Arial"/>
          <w:color w:val="000000"/>
          <w:sz w:val="23"/>
          <w:szCs w:val="23"/>
          <w:lang w:val="en-GB"/>
        </w:rPr>
        <w:t xml:space="preserve"> the meaning of a (declarative) sentence is not knowing of the proposition p that it expresses that the sentence expresses it. It is not knowing anything about p, or even having the ability to cognize p. Rather, it is (a) having the ability to use the sentence to entertain (perform) the proposition, and (b) having the knowledge and the </w:t>
      </w:r>
      <w:proofErr w:type="spellStart"/>
      <w:r w:rsidRPr="0018790C">
        <w:rPr>
          <w:rFonts w:ascii="Garamond" w:hAnsi="Garamond" w:cs="Arial"/>
          <w:color w:val="000000"/>
          <w:sz w:val="23"/>
          <w:szCs w:val="23"/>
          <w:lang w:val="en-GB"/>
        </w:rPr>
        <w:t>recognitional</w:t>
      </w:r>
      <w:proofErr w:type="spellEnd"/>
      <w:r w:rsidRPr="0018790C">
        <w:rPr>
          <w:rFonts w:ascii="Garamond" w:hAnsi="Garamond" w:cs="Arial"/>
          <w:color w:val="000000"/>
          <w:sz w:val="23"/>
          <w:szCs w:val="23"/>
          <w:lang w:val="en-GB"/>
        </w:rPr>
        <w:t xml:space="preserve"> </w:t>
      </w:r>
      <w:r w:rsidRPr="0018790C">
        <w:rPr>
          <w:rFonts w:ascii="Garamond" w:hAnsi="Garamond" w:cs="Arial"/>
          <w:color w:val="000000"/>
          <w:sz w:val="23"/>
          <w:szCs w:val="23"/>
          <w:lang w:val="en-GB"/>
        </w:rPr>
        <w:lastRenderedPageBreak/>
        <w:t>abilities needed to use the sentence, and the expressions it contains, to communicate with others in ways widely presupposed in the linguistic community.</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(vii) Because propositions are purely representational cognitive acts, fine-grained variations of them (e.g. different ways of predicating the same properties of the same things) may be representationally identical but cognitively distinct.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Theses (</w:t>
      </w:r>
      <w:proofErr w:type="spellStart"/>
      <w:r w:rsidRPr="0018790C">
        <w:rPr>
          <w:rFonts w:ascii="Garamond" w:hAnsi="Garamond" w:cs="Arial"/>
          <w:color w:val="000000"/>
          <w:sz w:val="23"/>
          <w:szCs w:val="23"/>
          <w:lang w:val="en-GB"/>
        </w:rPr>
        <w:t>i</w:t>
      </w:r>
      <w:proofErr w:type="spellEnd"/>
      <w:r w:rsidRPr="0018790C">
        <w:rPr>
          <w:rFonts w:ascii="Garamond" w:hAnsi="Garamond" w:cs="Arial"/>
          <w:color w:val="000000"/>
          <w:sz w:val="23"/>
          <w:szCs w:val="23"/>
          <w:lang w:val="en-GB"/>
        </w:rPr>
        <w:t xml:space="preserve">-vi) address foundational issues. Thesis (vii) delivers the empirical goods by giving us fine-grained propositions needed to solve problems involving de se attitudes, sentences with articulated terms, temporal cognition, perceptual cognition, essentially linguistic cognition, and cognition of propositions involving recognition of the recurrence of different items.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(1) Propositions can’t be cognitive acts because propositions aren’t things we do.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(2) Since it doesn’t, in general, follow from the fact that an agent does so-and-so that his act also does so-and-so, it is incorrect to claim that a cognitive act represents o as being F because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(3) Cognitive acts can’t be both propositions and meanings of sentences because ‘means’ in ‘S means that so-and-so’ doesn’t take propositional objects -- as evidenced by the ill-</w:t>
      </w:r>
      <w:proofErr w:type="spellStart"/>
      <w:r w:rsidRPr="0018790C">
        <w:rPr>
          <w:rFonts w:ascii="Garamond" w:hAnsi="Garamond" w:cs="Arial"/>
          <w:color w:val="000000"/>
          <w:sz w:val="23"/>
          <w:szCs w:val="23"/>
          <w:lang w:val="en-GB"/>
        </w:rPr>
        <w:t>formedness</w:t>
      </w:r>
      <w:proofErr w:type="spellEnd"/>
      <w:r w:rsidRPr="0018790C">
        <w:rPr>
          <w:rFonts w:ascii="Garamond" w:hAnsi="Garamond" w:cs="Arial"/>
          <w:color w:val="000000"/>
          <w:sz w:val="23"/>
          <w:szCs w:val="23"/>
          <w:lang w:val="en-GB"/>
        </w:rPr>
        <w:t xml:space="preserve"> of *the sentence ‘2+2 = 4’ means the proposition that 2+2 = 4.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(4) Cognitive acts can’t be both propositions and objects of attitudes like think, say, judge, hypothesize, and suppose because these verbs -- unlike believe, assert, accept, assume, and posit -- don’t take the proposition that S in argument position. </w:t>
      </w:r>
      <w:r w:rsidRPr="0018790C">
        <w:rPr>
          <w:rFonts w:ascii="Garamond" w:eastAsia="Times New Roman" w:hAnsi="Garamond" w:cs="Times New Roman"/>
          <w:sz w:val="20"/>
          <w:szCs w:val="20"/>
          <w:lang w:val="en-GB"/>
        </w:rPr>
        <w:br/>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(5) It is incoherent to suppose that acts of predicating the property P of an object o without undertaking any commitment to o’s being P or not being P </w:t>
      </w:r>
      <w:proofErr w:type="gramStart"/>
      <w:r w:rsidRPr="0018790C">
        <w:rPr>
          <w:rFonts w:ascii="Garamond" w:hAnsi="Garamond" w:cs="Arial"/>
          <w:color w:val="000000"/>
          <w:sz w:val="23"/>
          <w:szCs w:val="23"/>
          <w:lang w:val="en-GB"/>
        </w:rPr>
        <w:t>have</w:t>
      </w:r>
      <w:proofErr w:type="gramEnd"/>
      <w:r w:rsidRPr="0018790C">
        <w:rPr>
          <w:rFonts w:ascii="Garamond" w:hAnsi="Garamond" w:cs="Arial"/>
          <w:color w:val="000000"/>
          <w:sz w:val="23"/>
          <w:szCs w:val="23"/>
          <w:lang w:val="en-GB"/>
        </w:rPr>
        <w:t xml:space="preserve"> truth conditions. </w:t>
      </w:r>
    </w:p>
    <w:p w:rsidR="0018790C" w:rsidRPr="0018790C" w:rsidRDefault="0018790C" w:rsidP="0018790C">
      <w:pPr>
        <w:rPr>
          <w:rFonts w:ascii="Garamond" w:eastAsia="Times New Roman" w:hAnsi="Garamond" w:cs="Times New Roman"/>
          <w:sz w:val="20"/>
          <w:szCs w:val="20"/>
          <w:lang w:val="en-GB"/>
        </w:rPr>
      </w:pP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(6) The theory of cognitive propositions is incorrect because it can’t assign propositions to meaningful sentences containing empty names.</w:t>
      </w:r>
    </w:p>
    <w:p w:rsidR="0018790C" w:rsidRPr="0018790C" w:rsidRDefault="0018790C" w:rsidP="0018790C">
      <w:pPr>
        <w:rPr>
          <w:rFonts w:ascii="Garamond" w:eastAsia="Times New Roman" w:hAnsi="Garamond" w:cs="Times New Roman"/>
          <w:sz w:val="20"/>
          <w:szCs w:val="20"/>
          <w:lang w:val="en-GB"/>
        </w:rPr>
      </w:pPr>
      <w:bookmarkStart w:id="0" w:name="_GoBack"/>
      <w:bookmarkEnd w:id="0"/>
    </w:p>
    <w:p w:rsidR="0018790C" w:rsidRPr="0018790C" w:rsidRDefault="0018790C" w:rsidP="0018790C">
      <w:pPr>
        <w:rPr>
          <w:rFonts w:ascii="Garamond" w:hAnsi="Garamond" w:cs="Times New Roman"/>
          <w:sz w:val="20"/>
          <w:szCs w:val="20"/>
          <w:lang w:val="en-GB"/>
        </w:rPr>
      </w:pPr>
      <w:r w:rsidRPr="0018790C">
        <w:rPr>
          <w:rFonts w:ascii="Garamond" w:hAnsi="Garamond" w:cs="Arial"/>
          <w:b/>
          <w:bCs/>
          <w:color w:val="000000"/>
          <w:sz w:val="23"/>
          <w:szCs w:val="23"/>
          <w:lang w:val="en-GB"/>
        </w:rPr>
        <w:t>Jeff Speaks, “Cognitively distinct but representationally identical propositions”:</w:t>
      </w:r>
    </w:p>
    <w:p w:rsidR="0018790C" w:rsidRPr="0018790C" w:rsidRDefault="0018790C" w:rsidP="0018790C">
      <w:pPr>
        <w:rPr>
          <w:rFonts w:ascii="Garamond" w:hAnsi="Garamond" w:cs="Times New Roman"/>
          <w:sz w:val="20"/>
          <w:szCs w:val="20"/>
          <w:lang w:val="en-GB"/>
        </w:rPr>
      </w:pPr>
      <w:r w:rsidRPr="0018790C">
        <w:rPr>
          <w:rFonts w:ascii="Garamond" w:hAnsi="Garamond" w:cs="Arial"/>
          <w:color w:val="000000"/>
          <w:sz w:val="23"/>
          <w:szCs w:val="23"/>
          <w:lang w:val="en-GB"/>
        </w:rPr>
        <w:t xml:space="preserve">As is </w:t>
      </w:r>
      <w:proofErr w:type="gramStart"/>
      <w:r w:rsidRPr="0018790C">
        <w:rPr>
          <w:rFonts w:ascii="Garamond" w:hAnsi="Garamond" w:cs="Arial"/>
          <w:color w:val="000000"/>
          <w:sz w:val="23"/>
          <w:szCs w:val="23"/>
          <w:lang w:val="en-GB"/>
        </w:rPr>
        <w:t>well-known</w:t>
      </w:r>
      <w:proofErr w:type="gramEnd"/>
      <w:r w:rsidRPr="0018790C">
        <w:rPr>
          <w:rFonts w:ascii="Garamond" w:hAnsi="Garamond" w:cs="Arial"/>
          <w:color w:val="000000"/>
          <w:sz w:val="23"/>
          <w:szCs w:val="23"/>
          <w:lang w:val="en-GB"/>
        </w:rPr>
        <w:t xml:space="preserve">, various linguistic and mental phenomena make it tempting to posit distinct propositions which are alike with respect to the objects and properties they represent. But the usual way of making room for such propositions — positing </w:t>
      </w:r>
      <w:proofErr w:type="spellStart"/>
      <w:r w:rsidRPr="0018790C">
        <w:rPr>
          <w:rFonts w:ascii="Garamond" w:hAnsi="Garamond" w:cs="Arial"/>
          <w:color w:val="000000"/>
          <w:sz w:val="23"/>
          <w:szCs w:val="23"/>
          <w:lang w:val="en-GB"/>
        </w:rPr>
        <w:t>Fregean</w:t>
      </w:r>
      <w:proofErr w:type="spellEnd"/>
      <w:r w:rsidRPr="0018790C">
        <w:rPr>
          <w:rFonts w:ascii="Garamond" w:hAnsi="Garamond" w:cs="Arial"/>
          <w:color w:val="000000"/>
          <w:sz w:val="23"/>
          <w:szCs w:val="23"/>
          <w:lang w:val="en-GB"/>
        </w:rPr>
        <w:t xml:space="preserve"> senses — is, for various reasons, unappealing to many philosophers. One of the most interesting aspects of Scott </w:t>
      </w:r>
      <w:proofErr w:type="spellStart"/>
      <w:r w:rsidRPr="0018790C">
        <w:rPr>
          <w:rFonts w:ascii="Garamond" w:hAnsi="Garamond" w:cs="Arial"/>
          <w:color w:val="000000"/>
          <w:sz w:val="23"/>
          <w:szCs w:val="23"/>
          <w:lang w:val="en-GB"/>
        </w:rPr>
        <w:t>Soames</w:t>
      </w:r>
      <w:proofErr w:type="spellEnd"/>
      <w:r w:rsidRPr="0018790C">
        <w:rPr>
          <w:rFonts w:ascii="Garamond" w:hAnsi="Garamond" w:cs="Arial"/>
          <w:color w:val="000000"/>
          <w:sz w:val="23"/>
          <w:szCs w:val="23"/>
          <w:lang w:val="en-GB"/>
        </w:rPr>
        <w:t xml:space="preserve">’ theory of propositions is that it aims to make room for distinct but representationally identical propositions without appeal to </w:t>
      </w:r>
      <w:proofErr w:type="spellStart"/>
      <w:r w:rsidRPr="0018790C">
        <w:rPr>
          <w:rFonts w:ascii="Garamond" w:hAnsi="Garamond" w:cs="Arial"/>
          <w:color w:val="000000"/>
          <w:sz w:val="23"/>
          <w:szCs w:val="23"/>
          <w:lang w:val="en-GB"/>
        </w:rPr>
        <w:t>Fregean</w:t>
      </w:r>
      <w:proofErr w:type="spellEnd"/>
      <w:r w:rsidRPr="0018790C">
        <w:rPr>
          <w:rFonts w:ascii="Garamond" w:hAnsi="Garamond" w:cs="Arial"/>
          <w:color w:val="000000"/>
          <w:sz w:val="23"/>
          <w:szCs w:val="23"/>
          <w:lang w:val="en-GB"/>
        </w:rPr>
        <w:t xml:space="preserve"> sense. I </w:t>
      </w:r>
      <w:proofErr w:type="gramStart"/>
      <w:r w:rsidRPr="0018790C">
        <w:rPr>
          <w:rFonts w:ascii="Garamond" w:hAnsi="Garamond" w:cs="Arial"/>
          <w:color w:val="000000"/>
          <w:sz w:val="23"/>
          <w:szCs w:val="23"/>
          <w:lang w:val="en-GB"/>
        </w:rPr>
        <w:t>lay</w:t>
      </w:r>
      <w:proofErr w:type="gramEnd"/>
      <w:r w:rsidRPr="0018790C">
        <w:rPr>
          <w:rFonts w:ascii="Garamond" w:hAnsi="Garamond" w:cs="Arial"/>
          <w:color w:val="000000"/>
          <w:sz w:val="23"/>
          <w:szCs w:val="23"/>
          <w:lang w:val="en-GB"/>
        </w:rPr>
        <w:t xml:space="preserve"> out and critically examine a few ways in which this explanation might work.</w:t>
      </w:r>
    </w:p>
    <w:p w:rsidR="0018790C" w:rsidRPr="0018790C" w:rsidRDefault="0018790C" w:rsidP="0018790C">
      <w:pPr>
        <w:rPr>
          <w:rFonts w:ascii="Garamond" w:eastAsia="Times New Roman" w:hAnsi="Garamond" w:cs="Times New Roman"/>
          <w:sz w:val="20"/>
          <w:szCs w:val="20"/>
          <w:lang w:val="en-GB"/>
        </w:rPr>
      </w:pPr>
      <w:r w:rsidRPr="0018790C">
        <w:rPr>
          <w:rFonts w:ascii="Garamond" w:eastAsia="Times New Roman" w:hAnsi="Garamond" w:cs="Times New Roman"/>
          <w:sz w:val="20"/>
          <w:szCs w:val="20"/>
          <w:lang w:val="en-GB"/>
        </w:rPr>
        <w:br/>
      </w:r>
      <w:r w:rsidRPr="0018790C">
        <w:rPr>
          <w:rFonts w:ascii="Garamond" w:eastAsia="Times New Roman" w:hAnsi="Garamond" w:cs="Times New Roman"/>
          <w:sz w:val="20"/>
          <w:szCs w:val="20"/>
          <w:lang w:val="en-GB"/>
        </w:rPr>
        <w:br/>
      </w:r>
      <w:r w:rsidRPr="0018790C">
        <w:rPr>
          <w:rFonts w:ascii="Garamond" w:eastAsia="Times New Roman" w:hAnsi="Garamond" w:cs="Times New Roman"/>
          <w:sz w:val="20"/>
          <w:szCs w:val="20"/>
          <w:lang w:val="en-GB"/>
        </w:rPr>
        <w:br/>
      </w:r>
    </w:p>
    <w:p w:rsidR="003778AD" w:rsidRPr="0018790C" w:rsidRDefault="003778AD">
      <w:pPr>
        <w:rPr>
          <w:rFonts w:ascii="Garamond" w:hAnsi="Garamond"/>
        </w:rPr>
      </w:pPr>
    </w:p>
    <w:sectPr w:rsidR="003778AD" w:rsidRPr="0018790C" w:rsidSect="003778A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90C"/>
    <w:rsid w:val="0018790C"/>
    <w:rsid w:val="003778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DB7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90C"/>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90C"/>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8108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1078</Words>
  <Characters>5427</Characters>
  <Application>Microsoft Macintosh Word</Application>
  <DocSecurity>0</DocSecurity>
  <Lines>96</Lines>
  <Paragraphs>25</Paragraphs>
  <ScaleCrop>false</ScaleCrop>
  <Company/>
  <LinksUpToDate>false</LinksUpToDate>
  <CharactersWithSpaces>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Goodman</dc:creator>
  <cp:keywords/>
  <dc:description/>
  <cp:lastModifiedBy>Rachel Goodman</cp:lastModifiedBy>
  <cp:revision>1</cp:revision>
  <dcterms:created xsi:type="dcterms:W3CDTF">2014-03-24T11:54:00Z</dcterms:created>
  <dcterms:modified xsi:type="dcterms:W3CDTF">2014-03-24T11:56:00Z</dcterms:modified>
</cp:coreProperties>
</file>