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0F1F" w:rsidRPr="00C74A17" w:rsidRDefault="0081087D" w:rsidP="0081087D">
      <w:pPr>
        <w:spacing w:line="240" w:lineRule="auto"/>
        <w:jc w:val="center"/>
        <w:rPr>
          <w:rFonts w:ascii="Broadway" w:hAnsi="Broadway"/>
        </w:rPr>
      </w:pPr>
      <w:r w:rsidRPr="00C74A17">
        <w:rPr>
          <w:rFonts w:ascii="Broadway" w:hAnsi="Broadway"/>
        </w:rPr>
        <w:t xml:space="preserve">Department of Philosophy and Humanities, </w:t>
      </w:r>
      <w:r w:rsidR="006D0F1F" w:rsidRPr="00C74A17">
        <w:rPr>
          <w:rFonts w:ascii="Broadway" w:hAnsi="Broadway"/>
        </w:rPr>
        <w:t>University of Texas at Arlington</w:t>
      </w:r>
    </w:p>
    <w:p w:rsidR="006D0F1F" w:rsidRPr="00EC7FE5" w:rsidRDefault="006D0F1F" w:rsidP="0081087D">
      <w:pPr>
        <w:spacing w:line="240" w:lineRule="auto"/>
        <w:jc w:val="center"/>
        <w:rPr>
          <w:rFonts w:ascii="Broadway" w:hAnsi="Broadway"/>
          <w:color w:val="FF0000"/>
          <w:sz w:val="28"/>
          <w:szCs w:val="28"/>
        </w:rPr>
      </w:pPr>
      <w:r w:rsidRPr="00EC7FE5">
        <w:rPr>
          <w:rFonts w:ascii="Broadway" w:hAnsi="Broadway"/>
          <w:color w:val="FF0000"/>
          <w:sz w:val="28"/>
          <w:szCs w:val="28"/>
        </w:rPr>
        <w:t>Call for Papers</w:t>
      </w:r>
    </w:p>
    <w:p w:rsidR="006D0F1F" w:rsidRDefault="006D0F1F" w:rsidP="0081087D">
      <w:pPr>
        <w:spacing w:line="240" w:lineRule="auto"/>
        <w:jc w:val="center"/>
        <w:rPr>
          <w:rFonts w:ascii="Broadway" w:hAnsi="Broadway"/>
          <w:sz w:val="28"/>
          <w:szCs w:val="28"/>
        </w:rPr>
      </w:pPr>
      <w:r w:rsidRPr="005D037E">
        <w:rPr>
          <w:rFonts w:ascii="Broadway" w:hAnsi="Broadway"/>
          <w:sz w:val="28"/>
          <w:szCs w:val="28"/>
        </w:rPr>
        <w:t>A</w:t>
      </w:r>
      <w:r w:rsidR="0081087D" w:rsidRPr="005D037E">
        <w:rPr>
          <w:rFonts w:ascii="Broadway" w:hAnsi="Broadway"/>
          <w:sz w:val="28"/>
          <w:szCs w:val="28"/>
        </w:rPr>
        <w:t>ustrian T</w:t>
      </w:r>
      <w:r w:rsidR="005D037E">
        <w:rPr>
          <w:rFonts w:ascii="Broadway" w:hAnsi="Broadway"/>
          <w:sz w:val="28"/>
          <w:szCs w:val="28"/>
        </w:rPr>
        <w:t>hough</w:t>
      </w:r>
      <w:r w:rsidR="00E2439F">
        <w:rPr>
          <w:rFonts w:ascii="Broadway" w:hAnsi="Broadway"/>
          <w:sz w:val="28"/>
          <w:szCs w:val="28"/>
        </w:rPr>
        <w:t xml:space="preserve">t </w:t>
      </w:r>
      <w:r w:rsidR="00456DAE">
        <w:rPr>
          <w:rFonts w:ascii="Broadway" w:hAnsi="Broadway"/>
          <w:sz w:val="28"/>
          <w:szCs w:val="28"/>
        </w:rPr>
        <w:t>at the Turn of the 20th Century</w:t>
      </w:r>
    </w:p>
    <w:p w:rsidR="000A5333" w:rsidRPr="00EC7FE5" w:rsidRDefault="009A6915" w:rsidP="0081087D">
      <w:pPr>
        <w:spacing w:line="240" w:lineRule="auto"/>
        <w:jc w:val="center"/>
        <w:rPr>
          <w:rFonts w:ascii="Broadway" w:hAnsi="Broadway"/>
          <w:color w:val="FF0000"/>
          <w:sz w:val="24"/>
          <w:szCs w:val="24"/>
        </w:rPr>
      </w:pPr>
      <w:r w:rsidRPr="00EC7FE5">
        <w:rPr>
          <w:rFonts w:ascii="Broadway" w:hAnsi="Broadway"/>
          <w:color w:val="FF0000"/>
          <w:sz w:val="24"/>
          <w:szCs w:val="24"/>
        </w:rPr>
        <w:t>November 1-3,</w:t>
      </w:r>
      <w:r w:rsidR="000A5333" w:rsidRPr="00EC7FE5">
        <w:rPr>
          <w:rFonts w:ascii="Broadway" w:hAnsi="Broadway"/>
          <w:color w:val="FF0000"/>
          <w:sz w:val="24"/>
          <w:szCs w:val="24"/>
        </w:rPr>
        <w:t xml:space="preserve"> 2012</w:t>
      </w:r>
    </w:p>
    <w:p w:rsidR="006D0F1F" w:rsidRDefault="00844808" w:rsidP="006D0F1F">
      <w:pPr>
        <w:jc w:val="center"/>
        <w:rPr>
          <w:rFonts w:ascii="Garamond" w:hAnsi="Garamond"/>
        </w:rPr>
      </w:pPr>
      <w:r>
        <w:rPr>
          <w:rFonts w:ascii="Garamond" w:hAnsi="Garamond"/>
          <w:noProof/>
        </w:rPr>
        <w:drawing>
          <wp:inline distT="0" distB="0" distL="0" distR="0">
            <wp:extent cx="1704692" cy="2158583"/>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srcRect/>
                    <a:stretch>
                      <a:fillRect/>
                    </a:stretch>
                  </pic:blipFill>
                  <pic:spPr bwMode="auto">
                    <a:xfrm>
                      <a:off x="0" y="0"/>
                      <a:ext cx="1717069" cy="2174256"/>
                    </a:xfrm>
                    <a:prstGeom prst="rect">
                      <a:avLst/>
                    </a:prstGeom>
                    <a:noFill/>
                    <a:ln w="9525">
                      <a:noFill/>
                      <a:miter lim="800000"/>
                      <a:headEnd/>
                      <a:tailEnd/>
                    </a:ln>
                  </pic:spPr>
                </pic:pic>
              </a:graphicData>
            </a:graphic>
          </wp:inline>
        </w:drawing>
      </w:r>
      <w:r w:rsidR="00FE7EB3">
        <w:rPr>
          <w:rFonts w:ascii="Garamond" w:hAnsi="Garamond"/>
          <w:noProof/>
        </w:rPr>
        <w:drawing>
          <wp:inline distT="0" distB="0" distL="0" distR="0">
            <wp:extent cx="3060376" cy="2158583"/>
            <wp:effectExtent l="19050" t="0" r="6674"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3060149" cy="2158423"/>
                    </a:xfrm>
                    <a:prstGeom prst="rect">
                      <a:avLst/>
                    </a:prstGeom>
                    <a:noFill/>
                    <a:ln w="9525">
                      <a:noFill/>
                      <a:miter lim="800000"/>
                      <a:headEnd/>
                      <a:tailEnd/>
                    </a:ln>
                  </pic:spPr>
                </pic:pic>
              </a:graphicData>
            </a:graphic>
          </wp:inline>
        </w:drawing>
      </w:r>
      <w:r w:rsidRPr="00844808">
        <w:rPr>
          <w:rFonts w:ascii="Garamond" w:hAnsi="Garamond"/>
        </w:rPr>
        <w:t xml:space="preserve"> </w:t>
      </w:r>
      <w:r>
        <w:rPr>
          <w:rFonts w:ascii="Garamond" w:hAnsi="Garamond"/>
          <w:noProof/>
        </w:rPr>
        <w:drawing>
          <wp:inline distT="0" distB="0" distL="0" distR="0">
            <wp:extent cx="1529841" cy="2158583"/>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srcRect/>
                    <a:stretch>
                      <a:fillRect/>
                    </a:stretch>
                  </pic:blipFill>
                  <pic:spPr bwMode="auto">
                    <a:xfrm>
                      <a:off x="0" y="0"/>
                      <a:ext cx="1539946" cy="2172841"/>
                    </a:xfrm>
                    <a:prstGeom prst="rect">
                      <a:avLst/>
                    </a:prstGeom>
                    <a:noFill/>
                    <a:ln w="9525">
                      <a:noFill/>
                      <a:miter lim="800000"/>
                      <a:headEnd/>
                      <a:tailEnd/>
                    </a:ln>
                  </pic:spPr>
                </pic:pic>
              </a:graphicData>
            </a:graphic>
          </wp:inline>
        </w:drawing>
      </w:r>
    </w:p>
    <w:p w:rsidR="00F320BB" w:rsidRPr="00456DAE" w:rsidRDefault="009A6915" w:rsidP="0081087D">
      <w:pPr>
        <w:spacing w:after="0" w:line="240" w:lineRule="auto"/>
        <w:rPr>
          <w:rFonts w:ascii="Garamond" w:hAnsi="Garamond"/>
        </w:rPr>
      </w:pPr>
      <w:r>
        <w:rPr>
          <w:rFonts w:ascii="Garamond" w:hAnsi="Garamond"/>
        </w:rPr>
        <w:t xml:space="preserve">We invite contributions </w:t>
      </w:r>
      <w:r w:rsidR="00456DAE">
        <w:rPr>
          <w:rFonts w:ascii="Garamond" w:hAnsi="Garamond"/>
        </w:rPr>
        <w:t xml:space="preserve">to </w:t>
      </w:r>
      <w:r>
        <w:rPr>
          <w:rFonts w:ascii="Garamond" w:hAnsi="Garamond"/>
        </w:rPr>
        <w:t>a confere</w:t>
      </w:r>
      <w:r w:rsidR="00D919B0">
        <w:rPr>
          <w:rFonts w:ascii="Garamond" w:hAnsi="Garamond"/>
        </w:rPr>
        <w:t xml:space="preserve">nce on Austrian Thought at the </w:t>
      </w:r>
      <w:r w:rsidR="00456DAE">
        <w:rPr>
          <w:rFonts w:ascii="Garamond" w:hAnsi="Garamond"/>
        </w:rPr>
        <w:t>T</w:t>
      </w:r>
      <w:r>
        <w:rPr>
          <w:rFonts w:ascii="Garamond" w:hAnsi="Garamond"/>
        </w:rPr>
        <w:t xml:space="preserve">urn of the </w:t>
      </w:r>
      <w:r w:rsidRPr="00456DAE">
        <w:rPr>
          <w:rFonts w:ascii="Garamond" w:hAnsi="Garamond"/>
        </w:rPr>
        <w:t>20th</w:t>
      </w:r>
      <w:r w:rsidR="00BF49B6" w:rsidRPr="00456DAE">
        <w:rPr>
          <w:rFonts w:ascii="Garamond" w:hAnsi="Garamond"/>
        </w:rPr>
        <w:t xml:space="preserve"> Century. Philosophers of th</w:t>
      </w:r>
      <w:r w:rsidRPr="00456DAE">
        <w:rPr>
          <w:rFonts w:ascii="Garamond" w:hAnsi="Garamond"/>
        </w:rPr>
        <w:t>is period of the Austro-Hungarian Empire</w:t>
      </w:r>
      <w:r w:rsidR="00BF49B6" w:rsidRPr="00456DAE">
        <w:rPr>
          <w:rFonts w:ascii="Garamond" w:hAnsi="Garamond"/>
        </w:rPr>
        <w:t>—led by Franz Brentano—</w:t>
      </w:r>
      <w:r w:rsidR="00A3752E" w:rsidRPr="00456DAE">
        <w:rPr>
          <w:rFonts w:ascii="Garamond" w:hAnsi="Garamond"/>
        </w:rPr>
        <w:t xml:space="preserve">advanced </w:t>
      </w:r>
      <w:r w:rsidRPr="00456DAE">
        <w:rPr>
          <w:rFonts w:ascii="Garamond" w:hAnsi="Garamond"/>
        </w:rPr>
        <w:t>myriad areas o</w:t>
      </w:r>
      <w:r w:rsidR="007D2DB4" w:rsidRPr="00456DAE">
        <w:rPr>
          <w:rFonts w:ascii="Garamond" w:hAnsi="Garamond"/>
        </w:rPr>
        <w:t xml:space="preserve">f philosophy </w:t>
      </w:r>
      <w:r w:rsidR="00F320BB" w:rsidRPr="00456DAE">
        <w:rPr>
          <w:rFonts w:ascii="Garamond" w:hAnsi="Garamond"/>
        </w:rPr>
        <w:t xml:space="preserve">and </w:t>
      </w:r>
      <w:r w:rsidR="00A3752E" w:rsidRPr="00456DAE">
        <w:rPr>
          <w:rFonts w:ascii="Garamond" w:hAnsi="Garamond"/>
        </w:rPr>
        <w:t>innovative psychological research (e.g.,</w:t>
      </w:r>
      <w:r w:rsidRPr="00456DAE">
        <w:rPr>
          <w:rFonts w:ascii="Garamond" w:hAnsi="Garamond"/>
        </w:rPr>
        <w:t xml:space="preserve"> Gestalt theory</w:t>
      </w:r>
      <w:r w:rsidR="00A3752E" w:rsidRPr="00456DAE">
        <w:rPr>
          <w:rFonts w:ascii="Garamond" w:hAnsi="Garamond"/>
        </w:rPr>
        <w:t xml:space="preserve">, the Graz School of </w:t>
      </w:r>
      <w:r w:rsidRPr="00456DAE">
        <w:rPr>
          <w:rFonts w:ascii="Garamond" w:hAnsi="Garamond"/>
        </w:rPr>
        <w:t>experimental psychology</w:t>
      </w:r>
      <w:r w:rsidR="001E47A2" w:rsidRPr="00456DAE">
        <w:rPr>
          <w:rFonts w:ascii="Garamond" w:hAnsi="Garamond"/>
        </w:rPr>
        <w:t>)</w:t>
      </w:r>
      <w:r w:rsidRPr="00456DAE">
        <w:rPr>
          <w:rFonts w:ascii="Garamond" w:hAnsi="Garamond"/>
        </w:rPr>
        <w:t>.</w:t>
      </w:r>
      <w:r w:rsidR="00F320BB" w:rsidRPr="00456DAE">
        <w:rPr>
          <w:rFonts w:ascii="Garamond" w:hAnsi="Garamond"/>
        </w:rPr>
        <w:t xml:space="preserve"> Additionally</w:t>
      </w:r>
      <w:r w:rsidRPr="00456DAE">
        <w:rPr>
          <w:rFonts w:ascii="Garamond" w:hAnsi="Garamond"/>
        </w:rPr>
        <w:t xml:space="preserve">, </w:t>
      </w:r>
      <w:r w:rsidR="00BF49B6" w:rsidRPr="00456DAE">
        <w:rPr>
          <w:rFonts w:ascii="Garamond" w:hAnsi="Garamond"/>
        </w:rPr>
        <w:t>economists</w:t>
      </w:r>
      <w:r w:rsidR="00F320BB" w:rsidRPr="00456DAE">
        <w:rPr>
          <w:rFonts w:ascii="Garamond" w:hAnsi="Garamond"/>
        </w:rPr>
        <w:t>—led by Carl Menger—set forth the theory of subjective value, which</w:t>
      </w:r>
      <w:r w:rsidR="00A3752E" w:rsidRPr="00456DAE">
        <w:rPr>
          <w:rFonts w:ascii="Garamond" w:hAnsi="Garamond"/>
        </w:rPr>
        <w:t xml:space="preserve"> prepared</w:t>
      </w:r>
      <w:r w:rsidR="00F320BB" w:rsidRPr="00456DAE">
        <w:rPr>
          <w:rFonts w:ascii="Garamond" w:hAnsi="Garamond"/>
        </w:rPr>
        <w:t xml:space="preserve"> the ground for a new conceptual framework </w:t>
      </w:r>
      <w:r w:rsidR="007D2DB4" w:rsidRPr="00456DAE">
        <w:rPr>
          <w:rFonts w:ascii="Garamond" w:hAnsi="Garamond"/>
        </w:rPr>
        <w:t>for economics</w:t>
      </w:r>
      <w:r w:rsidR="00BF49B6" w:rsidRPr="00456DAE">
        <w:rPr>
          <w:rFonts w:ascii="Garamond" w:hAnsi="Garamond"/>
        </w:rPr>
        <w:t xml:space="preserve">. </w:t>
      </w:r>
      <w:r w:rsidR="00F320BB" w:rsidRPr="00456DAE">
        <w:rPr>
          <w:rFonts w:ascii="Garamond" w:hAnsi="Garamond"/>
        </w:rPr>
        <w:t>Together, Austrian philosophers and economists co</w:t>
      </w:r>
      <w:r w:rsidR="00C55E61" w:rsidRPr="00456DAE">
        <w:rPr>
          <w:rFonts w:ascii="Garamond" w:hAnsi="Garamond"/>
        </w:rPr>
        <w:t>llaborated on applications of the notion of</w:t>
      </w:r>
      <w:r w:rsidR="00BF49B6" w:rsidRPr="00456DAE">
        <w:rPr>
          <w:rFonts w:ascii="Garamond" w:hAnsi="Garamond"/>
        </w:rPr>
        <w:t xml:space="preserve"> intentionality, </w:t>
      </w:r>
      <w:r w:rsidR="00F320BB" w:rsidRPr="00456DAE">
        <w:rPr>
          <w:rFonts w:ascii="Garamond" w:hAnsi="Garamond"/>
        </w:rPr>
        <w:t>value</w:t>
      </w:r>
      <w:r w:rsidR="00C55E61" w:rsidRPr="00456DAE">
        <w:rPr>
          <w:rFonts w:ascii="Garamond" w:hAnsi="Garamond"/>
        </w:rPr>
        <w:t xml:space="preserve"> theoretical investigations, and the description of social and psychological phenomena</w:t>
      </w:r>
      <w:r w:rsidR="00F320BB" w:rsidRPr="00456DAE">
        <w:rPr>
          <w:rFonts w:ascii="Garamond" w:hAnsi="Garamond"/>
        </w:rPr>
        <w:t>.</w:t>
      </w:r>
      <w:r w:rsidR="00BF49B6" w:rsidRPr="00456DAE">
        <w:rPr>
          <w:rFonts w:ascii="Garamond" w:hAnsi="Garamond"/>
        </w:rPr>
        <w:t xml:space="preserve"> </w:t>
      </w:r>
    </w:p>
    <w:p w:rsidR="009A6915" w:rsidRPr="00456DAE" w:rsidRDefault="009A6915" w:rsidP="0081087D">
      <w:pPr>
        <w:spacing w:after="0" w:line="240" w:lineRule="auto"/>
        <w:rPr>
          <w:rFonts w:ascii="Garamond" w:hAnsi="Garamond"/>
          <w:sz w:val="16"/>
          <w:szCs w:val="16"/>
        </w:rPr>
      </w:pPr>
    </w:p>
    <w:p w:rsidR="006D0F1F" w:rsidRDefault="007D2DB4" w:rsidP="0081087D">
      <w:pPr>
        <w:spacing w:after="0" w:line="240" w:lineRule="auto"/>
        <w:rPr>
          <w:rFonts w:ascii="Garamond" w:hAnsi="Garamond"/>
        </w:rPr>
      </w:pPr>
      <w:r w:rsidRPr="00456DAE">
        <w:rPr>
          <w:rFonts w:ascii="Garamond" w:hAnsi="Garamond"/>
        </w:rPr>
        <w:t xml:space="preserve">We seek </w:t>
      </w:r>
      <w:r w:rsidR="009A6915" w:rsidRPr="00456DAE">
        <w:rPr>
          <w:rFonts w:ascii="Garamond" w:hAnsi="Garamond"/>
        </w:rPr>
        <w:t xml:space="preserve">innovative contributions that draw from or deepen our understanding of </w:t>
      </w:r>
      <w:r w:rsidR="00FB124A" w:rsidRPr="00456DAE">
        <w:rPr>
          <w:rFonts w:ascii="Garamond" w:hAnsi="Garamond"/>
        </w:rPr>
        <w:t xml:space="preserve">the legacy of </w:t>
      </w:r>
      <w:r w:rsidR="009A6915" w:rsidRPr="00456DAE">
        <w:rPr>
          <w:rFonts w:ascii="Garamond" w:hAnsi="Garamond"/>
        </w:rPr>
        <w:t>Austrian philosophy, Austrian economics, or Austrian psychology. For the purposes of this conference, we are demarcating the Brentanian tradition as that which starts with Brentano and culminates in</w:t>
      </w:r>
      <w:r w:rsidR="00D927D1" w:rsidRPr="00456DAE">
        <w:rPr>
          <w:rFonts w:ascii="Garamond" w:hAnsi="Garamond"/>
        </w:rPr>
        <w:t xml:space="preserve"> the work of </w:t>
      </w:r>
      <w:r w:rsidR="009A6915" w:rsidRPr="00456DAE">
        <w:rPr>
          <w:rFonts w:ascii="Garamond" w:hAnsi="Garamond"/>
        </w:rPr>
        <w:t>the studen</w:t>
      </w:r>
      <w:r w:rsidR="00F55C6C" w:rsidRPr="00456DAE">
        <w:rPr>
          <w:rFonts w:ascii="Garamond" w:hAnsi="Garamond"/>
        </w:rPr>
        <w:t xml:space="preserve">ts of his students, such as </w:t>
      </w:r>
      <w:r w:rsidR="009A6915" w:rsidRPr="00456DAE">
        <w:rPr>
          <w:rFonts w:ascii="Garamond" w:hAnsi="Garamond"/>
        </w:rPr>
        <w:t xml:space="preserve">Stein, </w:t>
      </w:r>
      <w:r w:rsidR="00F55C6C" w:rsidRPr="00456DAE">
        <w:rPr>
          <w:rFonts w:ascii="Garamond" w:hAnsi="Garamond"/>
        </w:rPr>
        <w:t xml:space="preserve">Reinach, </w:t>
      </w:r>
      <w:r w:rsidR="009A6915" w:rsidRPr="00456DAE">
        <w:rPr>
          <w:rFonts w:ascii="Garamond" w:hAnsi="Garamond"/>
        </w:rPr>
        <w:t xml:space="preserve">Ingarden, </w:t>
      </w:r>
      <w:proofErr w:type="spellStart"/>
      <w:r w:rsidR="00D927D1" w:rsidRPr="00456DAE">
        <w:rPr>
          <w:rFonts w:ascii="Garamond" w:hAnsi="Garamond"/>
          <w:bCs/>
        </w:rPr>
        <w:t>Witasek</w:t>
      </w:r>
      <w:proofErr w:type="spellEnd"/>
      <w:r w:rsidR="00C73319" w:rsidRPr="00456DAE">
        <w:rPr>
          <w:rFonts w:ascii="Garamond" w:hAnsi="Garamond"/>
          <w:bCs/>
        </w:rPr>
        <w:t xml:space="preserve">, </w:t>
      </w:r>
      <w:r w:rsidR="00F55C6C" w:rsidRPr="00456DAE">
        <w:rPr>
          <w:rFonts w:ascii="Garamond" w:hAnsi="Garamond"/>
        </w:rPr>
        <w:t xml:space="preserve">Leśniewski, </w:t>
      </w:r>
      <w:proofErr w:type="spellStart"/>
      <w:r w:rsidR="00A3752E" w:rsidRPr="00456DAE">
        <w:rPr>
          <w:rFonts w:ascii="Garamond" w:hAnsi="Garamond"/>
        </w:rPr>
        <w:t>Łukasiewicz</w:t>
      </w:r>
      <w:proofErr w:type="spellEnd"/>
      <w:r w:rsidR="009A6915" w:rsidRPr="00456DAE">
        <w:rPr>
          <w:rFonts w:ascii="Garamond" w:hAnsi="Garamond"/>
        </w:rPr>
        <w:t>. Similarly, for the purposes of this conference we are demarcating the Mengerian tradition as that which starts with Menger and culminates in the contributions of the last generation of economists of this School who are Austrian nationals.</w:t>
      </w:r>
      <w:r w:rsidRPr="00456DAE">
        <w:rPr>
          <w:rFonts w:ascii="Garamond" w:hAnsi="Garamond"/>
        </w:rPr>
        <w:t xml:space="preserve"> </w:t>
      </w:r>
      <w:r w:rsidR="00292A5D" w:rsidRPr="00456DAE">
        <w:rPr>
          <w:rFonts w:ascii="Garamond" w:hAnsi="Garamond"/>
        </w:rPr>
        <w:t>Suggested categories for papers are:</w:t>
      </w:r>
    </w:p>
    <w:p w:rsidR="00CC67BC" w:rsidRPr="00456DAE" w:rsidRDefault="00CC67BC" w:rsidP="0081087D">
      <w:pPr>
        <w:spacing w:after="0" w:line="240" w:lineRule="auto"/>
        <w:rPr>
          <w:rFonts w:ascii="Garamond" w:hAnsi="Garamond"/>
        </w:rPr>
      </w:pPr>
    </w:p>
    <w:p w:rsidR="00CC67BC" w:rsidRPr="00CC67BC" w:rsidRDefault="00CC67BC" w:rsidP="00CC67BC">
      <w:pPr>
        <w:pStyle w:val="ListParagraph"/>
        <w:numPr>
          <w:ilvl w:val="0"/>
          <w:numId w:val="1"/>
        </w:numPr>
        <w:spacing w:after="0" w:line="240" w:lineRule="auto"/>
        <w:rPr>
          <w:rFonts w:ascii="Garamond" w:hAnsi="Garamond"/>
        </w:rPr>
      </w:pPr>
      <w:r w:rsidRPr="00456DAE">
        <w:rPr>
          <w:rFonts w:ascii="Garamond" w:hAnsi="Garamond"/>
        </w:rPr>
        <w:t xml:space="preserve">Austrian philosophy and the Austrian School of economics </w:t>
      </w:r>
    </w:p>
    <w:p w:rsidR="00204AC4" w:rsidRPr="00456DAE" w:rsidRDefault="00204AC4" w:rsidP="00204AC4">
      <w:pPr>
        <w:pStyle w:val="ListParagraph"/>
        <w:numPr>
          <w:ilvl w:val="0"/>
          <w:numId w:val="1"/>
        </w:numPr>
        <w:spacing w:after="0" w:line="240" w:lineRule="auto"/>
        <w:rPr>
          <w:rFonts w:ascii="Garamond" w:hAnsi="Garamond"/>
        </w:rPr>
      </w:pPr>
      <w:r w:rsidRPr="00456DAE">
        <w:rPr>
          <w:rFonts w:ascii="Garamond" w:hAnsi="Garamond"/>
        </w:rPr>
        <w:t xml:space="preserve">The Austrian tradition of psychology and philosophy of mind </w:t>
      </w:r>
      <w:r w:rsidR="00FB124A" w:rsidRPr="00456DAE">
        <w:rPr>
          <w:rFonts w:ascii="Garamond" w:hAnsi="Garamond"/>
        </w:rPr>
        <w:t xml:space="preserve">and </w:t>
      </w:r>
      <w:r w:rsidR="003F00B3">
        <w:rPr>
          <w:rFonts w:ascii="Garamond" w:hAnsi="Garamond"/>
        </w:rPr>
        <w:t>its</w:t>
      </w:r>
      <w:r w:rsidRPr="00456DAE">
        <w:rPr>
          <w:rFonts w:ascii="Garamond" w:hAnsi="Garamond"/>
        </w:rPr>
        <w:t xml:space="preserve"> influence in</w:t>
      </w:r>
      <w:r w:rsidR="004217C7" w:rsidRPr="00456DAE">
        <w:rPr>
          <w:rFonts w:ascii="Garamond" w:hAnsi="Garamond"/>
        </w:rPr>
        <w:t xml:space="preserve"> later developments in</w:t>
      </w:r>
      <w:r w:rsidR="00FB124A" w:rsidRPr="00456DAE">
        <w:rPr>
          <w:rFonts w:ascii="Garamond" w:hAnsi="Garamond"/>
        </w:rPr>
        <w:t xml:space="preserve"> cognitive science and neuroscience</w:t>
      </w:r>
    </w:p>
    <w:p w:rsidR="003F00B3" w:rsidRDefault="00204AC4" w:rsidP="00456DAE">
      <w:pPr>
        <w:pStyle w:val="ListParagraph"/>
        <w:numPr>
          <w:ilvl w:val="0"/>
          <w:numId w:val="1"/>
        </w:numPr>
        <w:spacing w:after="0" w:line="240" w:lineRule="auto"/>
        <w:rPr>
          <w:rFonts w:ascii="Garamond" w:hAnsi="Garamond"/>
        </w:rPr>
      </w:pPr>
      <w:r w:rsidRPr="00456DAE">
        <w:rPr>
          <w:rFonts w:ascii="Garamond" w:hAnsi="Garamond"/>
        </w:rPr>
        <w:t xml:space="preserve">Social objects </w:t>
      </w:r>
      <w:r w:rsidR="003F00B3">
        <w:rPr>
          <w:rFonts w:ascii="Garamond" w:hAnsi="Garamond"/>
        </w:rPr>
        <w:t>and social ontology</w:t>
      </w:r>
    </w:p>
    <w:p w:rsidR="00473B53" w:rsidRPr="00456DAE" w:rsidRDefault="00473B53" w:rsidP="00456DAE">
      <w:pPr>
        <w:pStyle w:val="ListParagraph"/>
        <w:numPr>
          <w:ilvl w:val="0"/>
          <w:numId w:val="1"/>
        </w:numPr>
        <w:spacing w:after="0" w:line="240" w:lineRule="auto"/>
        <w:rPr>
          <w:rFonts w:ascii="Garamond" w:hAnsi="Garamond"/>
        </w:rPr>
      </w:pPr>
      <w:r w:rsidRPr="00456DAE">
        <w:rPr>
          <w:rFonts w:ascii="Garamond" w:hAnsi="Garamond"/>
        </w:rPr>
        <w:t>Stein and her description of empathy, and</w:t>
      </w:r>
      <w:r w:rsidR="007D2DB4" w:rsidRPr="00456DAE">
        <w:rPr>
          <w:rFonts w:ascii="Garamond" w:hAnsi="Garamond"/>
        </w:rPr>
        <w:t xml:space="preserve"> corroborating</w:t>
      </w:r>
      <w:r w:rsidR="008D7C15" w:rsidRPr="00456DAE">
        <w:rPr>
          <w:rFonts w:ascii="Garamond" w:hAnsi="Garamond"/>
        </w:rPr>
        <w:t xml:space="preserve"> findings</w:t>
      </w:r>
      <w:r w:rsidR="007D2DB4" w:rsidRPr="00456DAE">
        <w:rPr>
          <w:rFonts w:ascii="Garamond" w:hAnsi="Garamond"/>
        </w:rPr>
        <w:t xml:space="preserve"> in science,</w:t>
      </w:r>
      <w:r w:rsidRPr="00456DAE">
        <w:rPr>
          <w:rFonts w:ascii="Garamond" w:hAnsi="Garamond"/>
        </w:rPr>
        <w:t xml:space="preserve"> </w:t>
      </w:r>
      <w:r w:rsidR="008D7C15" w:rsidRPr="00456DAE">
        <w:rPr>
          <w:rFonts w:ascii="Garamond" w:hAnsi="Garamond"/>
        </w:rPr>
        <w:t xml:space="preserve">including research in neuroethics and </w:t>
      </w:r>
      <w:r w:rsidR="00FB124A" w:rsidRPr="00456DAE">
        <w:rPr>
          <w:rFonts w:ascii="Garamond" w:hAnsi="Garamond"/>
        </w:rPr>
        <w:t>neurophenomenology</w:t>
      </w:r>
    </w:p>
    <w:p w:rsidR="00204AC4" w:rsidRPr="00456DAE" w:rsidRDefault="00204AC4" w:rsidP="00204AC4">
      <w:pPr>
        <w:pStyle w:val="ListParagraph"/>
        <w:numPr>
          <w:ilvl w:val="0"/>
          <w:numId w:val="1"/>
        </w:numPr>
        <w:spacing w:after="0" w:line="240" w:lineRule="auto"/>
        <w:rPr>
          <w:rFonts w:ascii="Garamond" w:hAnsi="Garamond"/>
        </w:rPr>
      </w:pPr>
      <w:r w:rsidRPr="00456DAE">
        <w:rPr>
          <w:rFonts w:ascii="Garamond" w:hAnsi="Garamond"/>
        </w:rPr>
        <w:t>Phenomenology (</w:t>
      </w:r>
      <w:r w:rsidR="00473B53" w:rsidRPr="00456DAE">
        <w:rPr>
          <w:rFonts w:ascii="Garamond" w:hAnsi="Garamond"/>
        </w:rPr>
        <w:t xml:space="preserve">e.g., </w:t>
      </w:r>
      <w:r w:rsidRPr="00456DAE">
        <w:rPr>
          <w:rFonts w:ascii="Garamond" w:hAnsi="Garamond"/>
        </w:rPr>
        <w:t xml:space="preserve">Husserl, </w:t>
      </w:r>
      <w:r w:rsidR="002834CC" w:rsidRPr="00456DAE">
        <w:rPr>
          <w:rFonts w:ascii="Garamond" w:hAnsi="Garamond"/>
        </w:rPr>
        <w:t>mereology, i</w:t>
      </w:r>
      <w:r w:rsidR="00473B53" w:rsidRPr="00456DAE">
        <w:rPr>
          <w:rFonts w:ascii="Garamond" w:hAnsi="Garamond"/>
        </w:rPr>
        <w:t xml:space="preserve">ntersubjectivity, constitution, </w:t>
      </w:r>
      <w:r w:rsidR="002834CC" w:rsidRPr="00456DAE">
        <w:rPr>
          <w:rFonts w:ascii="Garamond" w:hAnsi="Garamond"/>
        </w:rPr>
        <w:t xml:space="preserve">the </w:t>
      </w:r>
      <w:proofErr w:type="spellStart"/>
      <w:r w:rsidR="002834CC" w:rsidRPr="00456DAE">
        <w:rPr>
          <w:rFonts w:ascii="Garamond" w:hAnsi="Garamond"/>
        </w:rPr>
        <w:t>Göttingen</w:t>
      </w:r>
      <w:proofErr w:type="spellEnd"/>
      <w:r w:rsidR="002834CC" w:rsidRPr="00456DAE">
        <w:rPr>
          <w:rFonts w:ascii="Garamond" w:hAnsi="Garamond"/>
        </w:rPr>
        <w:t xml:space="preserve"> Circle</w:t>
      </w:r>
      <w:r w:rsidRPr="00456DAE">
        <w:rPr>
          <w:rFonts w:ascii="Garamond" w:hAnsi="Garamond"/>
        </w:rPr>
        <w:t>)</w:t>
      </w:r>
    </w:p>
    <w:p w:rsidR="00204AC4" w:rsidRPr="00456DAE" w:rsidRDefault="00204AC4" w:rsidP="00204AC4">
      <w:pPr>
        <w:pStyle w:val="ListParagraph"/>
        <w:numPr>
          <w:ilvl w:val="0"/>
          <w:numId w:val="1"/>
        </w:numPr>
        <w:spacing w:after="0" w:line="240" w:lineRule="auto"/>
        <w:rPr>
          <w:rFonts w:ascii="Garamond" w:hAnsi="Garamond"/>
        </w:rPr>
      </w:pPr>
      <w:r w:rsidRPr="00456DAE">
        <w:rPr>
          <w:rFonts w:ascii="Garamond" w:hAnsi="Garamond"/>
        </w:rPr>
        <w:t>Aesthetics (</w:t>
      </w:r>
      <w:r w:rsidR="00473B53" w:rsidRPr="00456DAE">
        <w:rPr>
          <w:rFonts w:ascii="Garamond" w:hAnsi="Garamond"/>
        </w:rPr>
        <w:t xml:space="preserve">e.g., </w:t>
      </w:r>
      <w:proofErr w:type="spellStart"/>
      <w:r w:rsidRPr="00456DAE">
        <w:rPr>
          <w:rFonts w:ascii="Garamond" w:hAnsi="Garamond"/>
        </w:rPr>
        <w:t>Musil</w:t>
      </w:r>
      <w:proofErr w:type="spellEnd"/>
      <w:r w:rsidRPr="00456DAE">
        <w:rPr>
          <w:rFonts w:ascii="Garamond" w:hAnsi="Garamond"/>
        </w:rPr>
        <w:t>, Kafka, Ingarden)</w:t>
      </w:r>
    </w:p>
    <w:p w:rsidR="002834CC" w:rsidRPr="00456DAE" w:rsidRDefault="002834CC" w:rsidP="00204AC4">
      <w:pPr>
        <w:pStyle w:val="ListParagraph"/>
        <w:numPr>
          <w:ilvl w:val="0"/>
          <w:numId w:val="1"/>
        </w:numPr>
        <w:spacing w:after="0" w:line="240" w:lineRule="auto"/>
        <w:rPr>
          <w:rFonts w:ascii="Garamond" w:hAnsi="Garamond"/>
        </w:rPr>
      </w:pPr>
      <w:r w:rsidRPr="00456DAE">
        <w:rPr>
          <w:rFonts w:ascii="Garamond" w:hAnsi="Garamond"/>
        </w:rPr>
        <w:t>Polish philosophy and the Lvov-Warsaw School (</w:t>
      </w:r>
      <w:r w:rsidR="00473B53" w:rsidRPr="00456DAE">
        <w:rPr>
          <w:rFonts w:ascii="Garamond" w:hAnsi="Garamond"/>
        </w:rPr>
        <w:t xml:space="preserve">e.g., </w:t>
      </w:r>
      <w:r w:rsidRPr="00456DAE">
        <w:rPr>
          <w:rFonts w:ascii="Garamond" w:hAnsi="Garamond"/>
        </w:rPr>
        <w:t>Twardowski and his students</w:t>
      </w:r>
      <w:r w:rsidR="00473B53" w:rsidRPr="00456DAE">
        <w:rPr>
          <w:rFonts w:ascii="Garamond" w:hAnsi="Garamond"/>
        </w:rPr>
        <w:t xml:space="preserve">, </w:t>
      </w:r>
      <w:r w:rsidR="006E17C4" w:rsidRPr="00456DAE">
        <w:rPr>
          <w:rFonts w:ascii="Garamond" w:hAnsi="Garamond"/>
        </w:rPr>
        <w:t xml:space="preserve">semantics and </w:t>
      </w:r>
      <w:r w:rsidR="00473B53" w:rsidRPr="00456DAE">
        <w:rPr>
          <w:rFonts w:ascii="Garamond" w:hAnsi="Garamond"/>
        </w:rPr>
        <w:t>truth</w:t>
      </w:r>
      <w:r w:rsidRPr="00456DAE">
        <w:rPr>
          <w:rFonts w:ascii="Garamond" w:hAnsi="Garamond"/>
        </w:rPr>
        <w:t>)</w:t>
      </w:r>
    </w:p>
    <w:p w:rsidR="000B52EE" w:rsidRPr="00456DAE" w:rsidRDefault="000B52EE" w:rsidP="00456DAE">
      <w:pPr>
        <w:pStyle w:val="ListParagraph"/>
        <w:numPr>
          <w:ilvl w:val="0"/>
          <w:numId w:val="1"/>
        </w:numPr>
        <w:spacing w:after="0" w:line="240" w:lineRule="auto"/>
        <w:rPr>
          <w:rFonts w:ascii="Garamond" w:hAnsi="Garamond"/>
        </w:rPr>
      </w:pPr>
      <w:r w:rsidRPr="00456DAE">
        <w:rPr>
          <w:rFonts w:ascii="Garamond" w:hAnsi="Garamond"/>
        </w:rPr>
        <w:t>Relations between the Brentano School</w:t>
      </w:r>
      <w:r w:rsidR="001E47A2" w:rsidRPr="00456DAE">
        <w:rPr>
          <w:rFonts w:ascii="Garamond" w:hAnsi="Garamond"/>
        </w:rPr>
        <w:t xml:space="preserve"> </w:t>
      </w:r>
      <w:r w:rsidRPr="00456DAE">
        <w:rPr>
          <w:rFonts w:ascii="Garamond" w:hAnsi="Garamond"/>
        </w:rPr>
        <w:t>and the Vienna Circle</w:t>
      </w:r>
    </w:p>
    <w:p w:rsidR="001E47A2" w:rsidRPr="00456DAE" w:rsidRDefault="001E47A2" w:rsidP="00204AC4">
      <w:pPr>
        <w:pStyle w:val="ListParagraph"/>
        <w:numPr>
          <w:ilvl w:val="0"/>
          <w:numId w:val="1"/>
        </w:numPr>
        <w:spacing w:after="0" w:line="240" w:lineRule="auto"/>
        <w:rPr>
          <w:rFonts w:ascii="Garamond" w:hAnsi="Garamond"/>
        </w:rPr>
      </w:pPr>
      <w:r w:rsidRPr="00456DAE">
        <w:rPr>
          <w:rFonts w:ascii="Garamond" w:hAnsi="Garamond"/>
        </w:rPr>
        <w:t>Relations between the Brentano School and Wittgenstein</w:t>
      </w:r>
    </w:p>
    <w:p w:rsidR="000B52EE" w:rsidRPr="00456DAE" w:rsidRDefault="000B52EE" w:rsidP="00204AC4">
      <w:pPr>
        <w:pStyle w:val="ListParagraph"/>
        <w:numPr>
          <w:ilvl w:val="0"/>
          <w:numId w:val="1"/>
        </w:numPr>
        <w:spacing w:after="0" w:line="240" w:lineRule="auto"/>
        <w:rPr>
          <w:rFonts w:ascii="Garamond" w:hAnsi="Garamond"/>
        </w:rPr>
      </w:pPr>
      <w:r w:rsidRPr="00456DAE">
        <w:rPr>
          <w:rFonts w:ascii="Garamond" w:hAnsi="Garamond"/>
        </w:rPr>
        <w:t xml:space="preserve">Relations between the Brentano School and Freud </w:t>
      </w:r>
    </w:p>
    <w:p w:rsidR="00A24A33" w:rsidRPr="00456DAE" w:rsidRDefault="00A24A33" w:rsidP="00A24A33">
      <w:pPr>
        <w:pStyle w:val="ListParagraph"/>
        <w:spacing w:after="0" w:line="240" w:lineRule="auto"/>
        <w:rPr>
          <w:rFonts w:ascii="Garamond" w:hAnsi="Garamond"/>
          <w:sz w:val="16"/>
          <w:szCs w:val="16"/>
        </w:rPr>
      </w:pPr>
    </w:p>
    <w:p w:rsidR="00A24A33" w:rsidRPr="00456DAE" w:rsidRDefault="00B15F84" w:rsidP="00A24A33">
      <w:pPr>
        <w:spacing w:line="240" w:lineRule="auto"/>
        <w:jc w:val="center"/>
        <w:rPr>
          <w:rFonts w:ascii="Garamond" w:hAnsi="Garamond" w:cs="Times New Roman"/>
          <w:b/>
          <w:color w:val="FF0000"/>
          <w:sz w:val="28"/>
          <w:szCs w:val="28"/>
        </w:rPr>
      </w:pPr>
      <w:r w:rsidRPr="00456DAE">
        <w:rPr>
          <w:rFonts w:ascii="Garamond" w:hAnsi="Garamond" w:cs="Times New Roman"/>
          <w:b/>
          <w:color w:val="FF0000"/>
          <w:sz w:val="28"/>
          <w:szCs w:val="28"/>
        </w:rPr>
        <w:t>EXTENDED</w:t>
      </w:r>
      <w:r w:rsidR="00EC7FE5" w:rsidRPr="00456DAE">
        <w:rPr>
          <w:rFonts w:ascii="Garamond" w:hAnsi="Garamond" w:cs="Times New Roman"/>
          <w:b/>
          <w:color w:val="FF0000"/>
          <w:sz w:val="28"/>
          <w:szCs w:val="28"/>
        </w:rPr>
        <w:t xml:space="preserve"> </w:t>
      </w:r>
      <w:r w:rsidR="00A709E0" w:rsidRPr="00456DAE">
        <w:rPr>
          <w:rFonts w:ascii="Garamond" w:hAnsi="Garamond" w:cs="Times New Roman"/>
          <w:b/>
          <w:color w:val="FF0000"/>
          <w:sz w:val="28"/>
          <w:szCs w:val="28"/>
        </w:rPr>
        <w:t xml:space="preserve">Deadline for Submissions: </w:t>
      </w:r>
      <w:r w:rsidR="00EC7FE5" w:rsidRPr="00456DAE">
        <w:rPr>
          <w:rFonts w:ascii="Garamond" w:hAnsi="Garamond" w:cs="Times New Roman"/>
          <w:b/>
          <w:color w:val="FF0000"/>
          <w:sz w:val="28"/>
          <w:szCs w:val="28"/>
        </w:rPr>
        <w:t xml:space="preserve">August </w:t>
      </w:r>
      <w:r w:rsidR="008E011C">
        <w:rPr>
          <w:rFonts w:ascii="Garamond" w:hAnsi="Garamond" w:cs="Times New Roman"/>
          <w:b/>
          <w:color w:val="FF0000"/>
          <w:sz w:val="28"/>
          <w:szCs w:val="28"/>
        </w:rPr>
        <w:t>31</w:t>
      </w:r>
      <w:r w:rsidR="00A24A33" w:rsidRPr="00456DAE">
        <w:rPr>
          <w:rFonts w:ascii="Garamond" w:hAnsi="Garamond" w:cs="Times New Roman"/>
          <w:b/>
          <w:color w:val="FF0000"/>
          <w:sz w:val="28"/>
          <w:szCs w:val="28"/>
        </w:rPr>
        <w:t>, 2012</w:t>
      </w:r>
    </w:p>
    <w:p w:rsidR="00140C68" w:rsidRPr="00456DAE" w:rsidRDefault="00140C68" w:rsidP="00140C68">
      <w:pPr>
        <w:spacing w:line="240" w:lineRule="auto"/>
        <w:rPr>
          <w:rFonts w:ascii="Garamond" w:hAnsi="Garamond" w:cs="Times New Roman"/>
          <w:b/>
          <w:sz w:val="24"/>
          <w:szCs w:val="24"/>
        </w:rPr>
      </w:pPr>
      <w:r w:rsidRPr="00456DAE">
        <w:rPr>
          <w:rFonts w:ascii="Garamond" w:hAnsi="Garamond" w:cs="Times New Roman"/>
          <w:b/>
          <w:sz w:val="24"/>
          <w:szCs w:val="24"/>
        </w:rPr>
        <w:t>Abstracts may not be longer than 500 words and should be prepared for blind reviewing</w:t>
      </w:r>
      <w:r w:rsidR="003F00B3">
        <w:rPr>
          <w:rFonts w:ascii="Garamond" w:hAnsi="Garamond" w:cs="Times New Roman"/>
          <w:b/>
          <w:sz w:val="24"/>
          <w:szCs w:val="24"/>
        </w:rPr>
        <w:t xml:space="preserve"> with </w:t>
      </w:r>
      <w:bookmarkStart w:id="0" w:name="_GoBack"/>
      <w:bookmarkEnd w:id="0"/>
      <w:r w:rsidRPr="00456DAE">
        <w:rPr>
          <w:rFonts w:ascii="Garamond" w:hAnsi="Garamond" w:cs="Times New Roman"/>
          <w:b/>
          <w:sz w:val="24"/>
          <w:szCs w:val="24"/>
        </w:rPr>
        <w:t xml:space="preserve">a second page indicating name, affiliation, and title of abstract. Details for submission and registration are in the conference web page: </w:t>
      </w:r>
      <w:hyperlink r:id="rId8" w:history="1">
        <w:r w:rsidRPr="00456DAE">
          <w:rPr>
            <w:rStyle w:val="Hyperlink"/>
            <w:rFonts w:ascii="Garamond" w:hAnsi="Garamond" w:cs="Times New Roman"/>
            <w:b/>
            <w:sz w:val="24"/>
            <w:szCs w:val="24"/>
          </w:rPr>
          <w:t>http://www.uta.edu/philosophy/ATC.html</w:t>
        </w:r>
      </w:hyperlink>
      <w:r w:rsidRPr="00456DAE">
        <w:rPr>
          <w:rFonts w:ascii="Garamond" w:hAnsi="Garamond" w:cs="Times New Roman"/>
          <w:b/>
          <w:sz w:val="24"/>
          <w:szCs w:val="24"/>
        </w:rPr>
        <w:t xml:space="preserve">  </w:t>
      </w:r>
      <w:proofErr w:type="gramStart"/>
      <w:r w:rsidRPr="00456DAE">
        <w:rPr>
          <w:rFonts w:ascii="Garamond" w:hAnsi="Garamond" w:cs="Times New Roman"/>
          <w:b/>
          <w:sz w:val="24"/>
          <w:szCs w:val="24"/>
        </w:rPr>
        <w:t>Please</w:t>
      </w:r>
      <w:proofErr w:type="gramEnd"/>
      <w:r w:rsidRPr="00456DAE">
        <w:rPr>
          <w:rFonts w:ascii="Garamond" w:hAnsi="Garamond" w:cs="Times New Roman"/>
          <w:b/>
          <w:sz w:val="24"/>
          <w:szCs w:val="24"/>
        </w:rPr>
        <w:t xml:space="preserve"> send any questions to the Conference Chair, Gloria Zúñiga y Postigo (gloria.zunigaypostigo@uta.edu).</w:t>
      </w:r>
    </w:p>
    <w:sectPr w:rsidR="00140C68" w:rsidRPr="00456DAE" w:rsidSect="003437D6">
      <w:pgSz w:w="12240" w:h="15840" w:code="1"/>
      <w:pgMar w:top="720" w:right="864" w:bottom="720" w:left="86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Broadway">
    <w:panose1 w:val="04040905080B02020502"/>
    <w:charset w:val="00"/>
    <w:family w:val="decorativ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0F3545"/>
    <w:multiLevelType w:val="hybridMultilevel"/>
    <w:tmpl w:val="BB1EF57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7"/>
  <w:proofState w:spelling="clean" w:grammar="clean"/>
  <w:defaultTabStop w:val="720"/>
  <w:drawingGridHorizontalSpacing w:val="110"/>
  <w:displayHorizontalDrawingGridEvery w:val="2"/>
  <w:characterSpacingControl w:val="doNotCompress"/>
  <w:compat>
    <w:useFELayout/>
  </w:compat>
  <w:rsids>
    <w:rsidRoot w:val="006D0F1F"/>
    <w:rsid w:val="00012001"/>
    <w:rsid w:val="0002091F"/>
    <w:rsid w:val="000273A6"/>
    <w:rsid w:val="0008038F"/>
    <w:rsid w:val="000A5333"/>
    <w:rsid w:val="000B52EE"/>
    <w:rsid w:val="000C4BD8"/>
    <w:rsid w:val="00130C2C"/>
    <w:rsid w:val="00140C68"/>
    <w:rsid w:val="00164793"/>
    <w:rsid w:val="00190F49"/>
    <w:rsid w:val="001E47A2"/>
    <w:rsid w:val="001F62F9"/>
    <w:rsid w:val="00204AC4"/>
    <w:rsid w:val="002642D7"/>
    <w:rsid w:val="002834CC"/>
    <w:rsid w:val="00292A5D"/>
    <w:rsid w:val="00317B1E"/>
    <w:rsid w:val="003437D6"/>
    <w:rsid w:val="003454EC"/>
    <w:rsid w:val="003C5D78"/>
    <w:rsid w:val="003F00B3"/>
    <w:rsid w:val="004217C7"/>
    <w:rsid w:val="0044347C"/>
    <w:rsid w:val="00456DAE"/>
    <w:rsid w:val="004639A8"/>
    <w:rsid w:val="00473B53"/>
    <w:rsid w:val="00507A52"/>
    <w:rsid w:val="005523A5"/>
    <w:rsid w:val="0056468E"/>
    <w:rsid w:val="00591C8A"/>
    <w:rsid w:val="005D037E"/>
    <w:rsid w:val="006B79F4"/>
    <w:rsid w:val="006D0F1F"/>
    <w:rsid w:val="006D2BAF"/>
    <w:rsid w:val="006E17C4"/>
    <w:rsid w:val="00706E89"/>
    <w:rsid w:val="007939E4"/>
    <w:rsid w:val="007D2DB4"/>
    <w:rsid w:val="0081087D"/>
    <w:rsid w:val="00844808"/>
    <w:rsid w:val="008B3780"/>
    <w:rsid w:val="008D7C15"/>
    <w:rsid w:val="008E011C"/>
    <w:rsid w:val="009373C7"/>
    <w:rsid w:val="009A6915"/>
    <w:rsid w:val="00A24A33"/>
    <w:rsid w:val="00A3752E"/>
    <w:rsid w:val="00A54CFF"/>
    <w:rsid w:val="00A709E0"/>
    <w:rsid w:val="00AA2797"/>
    <w:rsid w:val="00B15F84"/>
    <w:rsid w:val="00BF49B6"/>
    <w:rsid w:val="00C55E61"/>
    <w:rsid w:val="00C56F31"/>
    <w:rsid w:val="00C65D82"/>
    <w:rsid w:val="00C73319"/>
    <w:rsid w:val="00C74A17"/>
    <w:rsid w:val="00CA3D05"/>
    <w:rsid w:val="00CA4787"/>
    <w:rsid w:val="00CC67BC"/>
    <w:rsid w:val="00CD5501"/>
    <w:rsid w:val="00D80065"/>
    <w:rsid w:val="00D905CB"/>
    <w:rsid w:val="00D919B0"/>
    <w:rsid w:val="00D927D1"/>
    <w:rsid w:val="00D933BC"/>
    <w:rsid w:val="00DA3603"/>
    <w:rsid w:val="00DC259A"/>
    <w:rsid w:val="00E2439F"/>
    <w:rsid w:val="00EC4254"/>
    <w:rsid w:val="00EC7FE5"/>
    <w:rsid w:val="00F20224"/>
    <w:rsid w:val="00F211C2"/>
    <w:rsid w:val="00F320BB"/>
    <w:rsid w:val="00F55C6C"/>
    <w:rsid w:val="00F649FB"/>
    <w:rsid w:val="00FB124A"/>
    <w:rsid w:val="00FE7EB3"/>
    <w:rsid w:val="00FF25E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4B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108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087D"/>
    <w:rPr>
      <w:rFonts w:ascii="Tahoma" w:hAnsi="Tahoma" w:cs="Tahoma"/>
      <w:sz w:val="16"/>
      <w:szCs w:val="16"/>
    </w:rPr>
  </w:style>
  <w:style w:type="paragraph" w:styleId="ListParagraph">
    <w:name w:val="List Paragraph"/>
    <w:basedOn w:val="Normal"/>
    <w:uiPriority w:val="34"/>
    <w:qFormat/>
    <w:rsid w:val="00130C2C"/>
    <w:pPr>
      <w:ind w:left="720"/>
      <w:contextualSpacing/>
    </w:pPr>
  </w:style>
  <w:style w:type="character" w:styleId="CommentReference">
    <w:name w:val="annotation reference"/>
    <w:basedOn w:val="DefaultParagraphFont"/>
    <w:uiPriority w:val="99"/>
    <w:semiHidden/>
    <w:unhideWhenUsed/>
    <w:rsid w:val="009A6915"/>
    <w:rPr>
      <w:sz w:val="18"/>
      <w:szCs w:val="18"/>
    </w:rPr>
  </w:style>
  <w:style w:type="paragraph" w:styleId="CommentText">
    <w:name w:val="annotation text"/>
    <w:basedOn w:val="Normal"/>
    <w:link w:val="CommentTextChar"/>
    <w:uiPriority w:val="99"/>
    <w:semiHidden/>
    <w:unhideWhenUsed/>
    <w:rsid w:val="009A6915"/>
    <w:pPr>
      <w:spacing w:line="240" w:lineRule="auto"/>
    </w:pPr>
    <w:rPr>
      <w:sz w:val="24"/>
      <w:szCs w:val="24"/>
    </w:rPr>
  </w:style>
  <w:style w:type="character" w:customStyle="1" w:styleId="CommentTextChar">
    <w:name w:val="Comment Text Char"/>
    <w:basedOn w:val="DefaultParagraphFont"/>
    <w:link w:val="CommentText"/>
    <w:uiPriority w:val="99"/>
    <w:semiHidden/>
    <w:rsid w:val="009A6915"/>
    <w:rPr>
      <w:sz w:val="24"/>
      <w:szCs w:val="24"/>
    </w:rPr>
  </w:style>
  <w:style w:type="character" w:styleId="Hyperlink">
    <w:name w:val="Hyperlink"/>
    <w:basedOn w:val="DefaultParagraphFont"/>
    <w:uiPriority w:val="99"/>
    <w:unhideWhenUsed/>
    <w:rsid w:val="00B15F8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108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087D"/>
    <w:rPr>
      <w:rFonts w:ascii="Tahoma" w:hAnsi="Tahoma" w:cs="Tahoma"/>
      <w:sz w:val="16"/>
      <w:szCs w:val="16"/>
    </w:rPr>
  </w:style>
  <w:style w:type="paragraph" w:styleId="ListParagraph">
    <w:name w:val="List Paragraph"/>
    <w:basedOn w:val="Normal"/>
    <w:uiPriority w:val="34"/>
    <w:qFormat/>
    <w:rsid w:val="00130C2C"/>
    <w:pPr>
      <w:ind w:left="720"/>
      <w:contextualSpacing/>
    </w:pPr>
  </w:style>
  <w:style w:type="character" w:styleId="CommentReference">
    <w:name w:val="annotation reference"/>
    <w:basedOn w:val="DefaultParagraphFont"/>
    <w:uiPriority w:val="99"/>
    <w:semiHidden/>
    <w:unhideWhenUsed/>
    <w:rsid w:val="009A6915"/>
    <w:rPr>
      <w:sz w:val="18"/>
      <w:szCs w:val="18"/>
    </w:rPr>
  </w:style>
  <w:style w:type="paragraph" w:styleId="CommentText">
    <w:name w:val="annotation text"/>
    <w:basedOn w:val="Normal"/>
    <w:link w:val="CommentTextChar"/>
    <w:uiPriority w:val="99"/>
    <w:semiHidden/>
    <w:unhideWhenUsed/>
    <w:rsid w:val="009A6915"/>
    <w:pPr>
      <w:spacing w:line="240" w:lineRule="auto"/>
    </w:pPr>
    <w:rPr>
      <w:sz w:val="24"/>
      <w:szCs w:val="24"/>
    </w:rPr>
  </w:style>
  <w:style w:type="character" w:customStyle="1" w:styleId="CommentTextChar">
    <w:name w:val="Comment Text Char"/>
    <w:basedOn w:val="DefaultParagraphFont"/>
    <w:link w:val="CommentText"/>
    <w:uiPriority w:val="99"/>
    <w:semiHidden/>
    <w:rsid w:val="009A6915"/>
    <w:rPr>
      <w:sz w:val="24"/>
      <w:szCs w:val="24"/>
    </w:rPr>
  </w:style>
  <w:style w:type="character" w:styleId="Hyperlink">
    <w:name w:val="Hyperlink"/>
    <w:basedOn w:val="DefaultParagraphFont"/>
    <w:uiPriority w:val="99"/>
    <w:unhideWhenUsed/>
    <w:rsid w:val="00B15F8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a.edu/philosophy/ATC.html"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microsoft.com/office/2007/relationships/stylesWithEffects" Target="stylesWithEffects.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413</Words>
  <Characters>2359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dcterms:created xsi:type="dcterms:W3CDTF">2012-07-27T16:35:00Z</dcterms:created>
  <dcterms:modified xsi:type="dcterms:W3CDTF">2012-07-27T16:35:00Z</dcterms:modified>
</cp:coreProperties>
</file>