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E63" w:rsidRPr="000005D5" w:rsidRDefault="00B80E9A" w:rsidP="009C6E63">
      <w:pPr>
        <w:rPr>
          <w:b/>
        </w:rPr>
      </w:pPr>
      <w:r w:rsidRPr="000005D5">
        <w:rPr>
          <w:b/>
        </w:rPr>
        <w:t>Liberty, We</w:t>
      </w:r>
      <w:r w:rsidR="00D547C2" w:rsidRPr="000005D5">
        <w:rPr>
          <w:b/>
        </w:rPr>
        <w:t>l</w:t>
      </w:r>
      <w:r w:rsidRPr="000005D5">
        <w:rPr>
          <w:b/>
        </w:rPr>
        <w:t>lbeing</w:t>
      </w:r>
      <w:r w:rsidR="009C6E63" w:rsidRPr="000005D5">
        <w:rPr>
          <w:b/>
        </w:rPr>
        <w:t xml:space="preserve"> and Social Justice in the Context of Pettit’s Republicanism and Hobhouse’s New Liberalism</w:t>
      </w:r>
    </w:p>
    <w:p w:rsidR="00087A7E" w:rsidRDefault="00087A7E" w:rsidP="009C6E63"/>
    <w:p w:rsidR="00087A7E" w:rsidRDefault="00087A7E" w:rsidP="00087A7E">
      <w:r>
        <w:t>Paper for the conference ‘Liberalism and Republicanism: Public Policy Implications’</w:t>
      </w:r>
    </w:p>
    <w:p w:rsidR="00087A7E" w:rsidRDefault="00087A7E" w:rsidP="00087A7E">
      <w:r>
        <w:t>13 February 2013</w:t>
      </w:r>
    </w:p>
    <w:p w:rsidR="00087A7E" w:rsidRDefault="00087A7E" w:rsidP="009C6E63"/>
    <w:p w:rsidR="009C6E63" w:rsidRDefault="009C6E63" w:rsidP="009C6E63">
      <w:r>
        <w:t>Maria Dimova-Cookson</w:t>
      </w:r>
    </w:p>
    <w:p w:rsidR="009C6E63" w:rsidRDefault="009C6E63" w:rsidP="009C6E63">
      <w:r>
        <w:t>SGIA, Durham University</w:t>
      </w:r>
    </w:p>
    <w:p w:rsidR="009C6E63" w:rsidRDefault="009C6E63" w:rsidP="009C6E63"/>
    <w:p w:rsidR="00B35E6C" w:rsidRPr="000005D5" w:rsidRDefault="00B35E6C" w:rsidP="00B35E6C">
      <w:pPr>
        <w:ind w:firstLine="720"/>
        <w:rPr>
          <w:b/>
        </w:rPr>
      </w:pPr>
      <w:r w:rsidRPr="000005D5">
        <w:rPr>
          <w:b/>
        </w:rPr>
        <w:t>Introduction</w:t>
      </w:r>
    </w:p>
    <w:p w:rsidR="00214F56" w:rsidRDefault="00214F56" w:rsidP="00214F56"/>
    <w:p w:rsidR="00214F56" w:rsidRDefault="00214F56" w:rsidP="00214F56">
      <w:r>
        <w:t xml:space="preserve">By aiming to undercut the practice of domination, Pettit’s republican theory has managed to reunite the pursuit of liberty and that of social justice. This union was not achieved first by the neo-republican theory – it was already there in the British idealist and the </w:t>
      </w:r>
      <w:proofErr w:type="gramStart"/>
      <w:r>
        <w:t>New</w:t>
      </w:r>
      <w:proofErr w:type="gramEnd"/>
      <w:r>
        <w:t xml:space="preserve"> liberal concept of liberty as ability for personal growth available to all. However, the latter concept was undermined by the overbearing impact of the anti-totalitarian, ‘negative’ liberalism of the mid to late twentieth century. Does Philip Pettit’s or L. T. Hobhouse’s liberty balance better the demands for liberty with the demands for social justice? I argue that because the New Liberal concept combines liberty, social justice and personal growth – while the republican concepts omits the last one - it is more successful in maintaining the link between liberty and wellbeing. That link is compromised when republicans assess the nature of the liberty of the dominators. </w:t>
      </w:r>
    </w:p>
    <w:p w:rsidR="00214F56" w:rsidRDefault="00214F56" w:rsidP="00214F56"/>
    <w:p w:rsidR="00FE63C0" w:rsidRDefault="00DF6AD5" w:rsidP="009C6E63">
      <w:r>
        <w:t xml:space="preserve">This paper looks more closely at Pettit’s concept of republican freedom and criticises it on two accounts: its failure to </w:t>
      </w:r>
      <w:r w:rsidR="00214F56">
        <w:t>address</w:t>
      </w:r>
      <w:r>
        <w:t xml:space="preserve"> the continuity between freedom and wellbeing (voluntariness) and its failure to acknowledge the loss of liberty resulting from the republican policies combatting practices of domination. One of the observations </w:t>
      </w:r>
      <w:r w:rsidR="00214F56">
        <w:t xml:space="preserve">made </w:t>
      </w:r>
      <w:r>
        <w:t>here is that Pettit’s concept of liberty is more loyal to social justice than to some basic aspects of liberty like voluntariness.</w:t>
      </w:r>
    </w:p>
    <w:p w:rsidR="00DF6AD5" w:rsidRDefault="00DF6AD5" w:rsidP="009C6E63"/>
    <w:p w:rsidR="00DF6AD5" w:rsidRDefault="00DF6AD5" w:rsidP="009C6E63">
      <w:r>
        <w:t xml:space="preserve">I draw a comparison with another concept of liberty that commits to social justice: Hobhouse’s concept of liberty as </w:t>
      </w:r>
      <w:r w:rsidR="006D1F4A">
        <w:t>personal growth available to all</w:t>
      </w:r>
      <w:r>
        <w:t>. I argue that although this association between liberty and social justice puts some strains on the liberty concept, the continuity between liberty and wellbeing (voluntariness) is better preserved.</w:t>
      </w:r>
    </w:p>
    <w:p w:rsidR="00214F56" w:rsidRDefault="00214F56" w:rsidP="009C6E63"/>
    <w:p w:rsidR="00214F56" w:rsidRDefault="00214F56" w:rsidP="00214F56">
      <w:r>
        <w:t>The differences in t</w:t>
      </w:r>
      <w:r w:rsidR="004F6B2D">
        <w:t>he public policy implications between</w:t>
      </w:r>
      <w:r>
        <w:t xml:space="preserve"> the republ</w:t>
      </w:r>
      <w:r w:rsidR="004F6B2D">
        <w:t xml:space="preserve">ican and the </w:t>
      </w:r>
      <w:proofErr w:type="gramStart"/>
      <w:r w:rsidR="004F6B2D">
        <w:t>New</w:t>
      </w:r>
      <w:proofErr w:type="gramEnd"/>
      <w:r w:rsidR="004F6B2D">
        <w:t xml:space="preserve"> liberal liberties</w:t>
      </w:r>
      <w:r>
        <w:t xml:space="preserve"> are subtle, but potentially significant. While both can justify extended state action, the latter could tailor specific policies in a manner more mindful of the wellbeing of all parties, even those on the wrong side of social justice.</w:t>
      </w:r>
    </w:p>
    <w:p w:rsidR="00214F56" w:rsidRDefault="00214F56" w:rsidP="009C6E63"/>
    <w:p w:rsidR="00B35E6C" w:rsidRDefault="00B35E6C" w:rsidP="009C6E63"/>
    <w:p w:rsidR="00B35E6C" w:rsidRPr="004675AD" w:rsidRDefault="00B35E6C" w:rsidP="004675AD">
      <w:pPr>
        <w:pStyle w:val="ListParagraph"/>
        <w:numPr>
          <w:ilvl w:val="0"/>
          <w:numId w:val="2"/>
        </w:numPr>
        <w:rPr>
          <w:b/>
        </w:rPr>
      </w:pPr>
      <w:r w:rsidRPr="004675AD">
        <w:rPr>
          <w:b/>
        </w:rPr>
        <w:t>Pettit’s liberty and social justice</w:t>
      </w:r>
    </w:p>
    <w:p w:rsidR="00B35E6C" w:rsidRDefault="00B35E6C" w:rsidP="00B35E6C">
      <w:pPr>
        <w:ind w:firstLine="360"/>
      </w:pPr>
    </w:p>
    <w:p w:rsidR="003044FD" w:rsidRDefault="003044FD" w:rsidP="00214F56">
      <w:pPr>
        <w:jc w:val="both"/>
      </w:pPr>
      <w:r w:rsidRPr="00443270">
        <w:t xml:space="preserve">Pettit’s definition of freedom as </w:t>
      </w:r>
      <w:proofErr w:type="spellStart"/>
      <w:r w:rsidRPr="00443270">
        <w:t>nondomination</w:t>
      </w:r>
      <w:proofErr w:type="spellEnd"/>
      <w:r w:rsidRPr="00443270">
        <w:t xml:space="preserve"> focuses on the plight of the dominated but says little about the dominators. How would social change which provides freedom as </w:t>
      </w:r>
      <w:proofErr w:type="spellStart"/>
      <w:r w:rsidRPr="00443270">
        <w:t>nondomination</w:t>
      </w:r>
      <w:proofErr w:type="spellEnd"/>
      <w:r w:rsidRPr="00443270">
        <w:t xml:space="preserve"> to the currently dominated affect the freedom of the current dominators? The supporters of Pettit’s republicanism will argue that dominators will not be less free when they lose their dominating power because they </w:t>
      </w:r>
      <w:r w:rsidRPr="00443270">
        <w:lastRenderedPageBreak/>
        <w:t xml:space="preserve">would have been subjected </w:t>
      </w:r>
      <w:r>
        <w:t xml:space="preserve">only </w:t>
      </w:r>
      <w:r w:rsidRPr="00443270">
        <w:t>to non-arbitrary interference. But we still have at least two problems here. First, these policies are likely to affect n</w:t>
      </w:r>
      <w:r>
        <w:t>egatively their wellbeing. A</w:t>
      </w:r>
      <w:r w:rsidRPr="00443270">
        <w:t>lthough wellbeing and freedom are two different things, a definition of freedom that ignores this link would be a problematic one</w:t>
      </w:r>
      <w:r>
        <w:t>:</w:t>
      </w:r>
      <w:r w:rsidRPr="00443270">
        <w:t xml:space="preserve"> Pettit himself links liberty</w:t>
      </w:r>
      <w:r w:rsidRPr="00443270">
        <w:rPr>
          <w:rStyle w:val="EndnoteReference"/>
        </w:rPr>
        <w:endnoteReference w:id="1"/>
      </w:r>
      <w:r w:rsidRPr="00443270">
        <w:t xml:space="preserve"> with wellbeing by defining republican freedom as freedom from arbitrary interference against one’s interest. Second, we can argue that the policies aiming to deprive the dominators of their powers will have an indirect impact on their freedom. Although, as non-arbitrary interference, these policies will not directly deprive them of freedom, they are likely to diminish some of the dominators’ resources and respectively their resilience against the domination of others. Thus they may indirectly impact on their freedom.</w:t>
      </w:r>
    </w:p>
    <w:p w:rsidR="003044FD" w:rsidRDefault="003044FD" w:rsidP="00214F56">
      <w:pPr>
        <w:jc w:val="both"/>
      </w:pPr>
    </w:p>
    <w:p w:rsidR="00B35E6C" w:rsidRPr="00443270" w:rsidRDefault="00B35E6C" w:rsidP="00214F56">
      <w:pPr>
        <w:jc w:val="both"/>
      </w:pPr>
      <w:proofErr w:type="gramStart"/>
      <w:r>
        <w:t>As already mentioned, t</w:t>
      </w:r>
      <w:r w:rsidRPr="00443270">
        <w:t xml:space="preserve">he observation that Pettit’s republican freedom does not focus on the freedom for dominators follows from two other observations: the link between </w:t>
      </w:r>
      <w:r>
        <w:t xml:space="preserve">the </w:t>
      </w:r>
      <w:r w:rsidRPr="00443270">
        <w:t xml:space="preserve">republican theory of freedom and social justice and the </w:t>
      </w:r>
      <w:r>
        <w:t>framing of the concept in a way that engages with the plight of</w:t>
      </w:r>
      <w:r w:rsidRPr="00443270">
        <w:t xml:space="preserve"> the victims of social </w:t>
      </w:r>
      <w:r>
        <w:t>injustice</w:t>
      </w:r>
      <w:r w:rsidRPr="00443270">
        <w:t>.</w:t>
      </w:r>
      <w:proofErr w:type="gramEnd"/>
      <w:r w:rsidRPr="00443270">
        <w:t xml:space="preserve"> </w:t>
      </w:r>
      <w:r w:rsidR="004F6B2D">
        <w:t>Let me say a bit more on each of these in turn.</w:t>
      </w:r>
    </w:p>
    <w:p w:rsidR="00214F56" w:rsidRDefault="00214F56" w:rsidP="00214F56">
      <w:pPr>
        <w:jc w:val="both"/>
      </w:pPr>
    </w:p>
    <w:p w:rsidR="003044FD" w:rsidRDefault="00B35E6C" w:rsidP="003044FD">
      <w:pPr>
        <w:jc w:val="both"/>
      </w:pPr>
      <w:r w:rsidRPr="00443270">
        <w:t xml:space="preserve">The link between republican freedom and social justice can hardly be denied. Pettit challenges the standard </w:t>
      </w:r>
      <w:r>
        <w:t>negative freedom definition as ‘</w:t>
      </w:r>
      <w:r w:rsidRPr="00443270">
        <w:t>non-interference</w:t>
      </w:r>
      <w:r>
        <w:t>’</w:t>
      </w:r>
      <w:r w:rsidRPr="00443270">
        <w:t xml:space="preserve">, replacing it with </w:t>
      </w:r>
      <w:r>
        <w:t>‘</w:t>
      </w:r>
      <w:proofErr w:type="spellStart"/>
      <w:r w:rsidRPr="00443270">
        <w:t>nondomination</w:t>
      </w:r>
      <w:proofErr w:type="spellEnd"/>
      <w:r w:rsidRPr="00443270">
        <w:t>,</w:t>
      </w:r>
      <w:r>
        <w:t>’</w:t>
      </w:r>
      <w:r w:rsidRPr="00443270">
        <w:t xml:space="preserve"> thus moving away from a naturalistic towards a civil reading: republican </w:t>
      </w:r>
      <w:r>
        <w:t>‘</w:t>
      </w:r>
      <w:r w:rsidRPr="00443270">
        <w:t>liberty is civil as distinct from natural freedom</w:t>
      </w:r>
      <w:r>
        <w:t>’ (Pettit, 1997, p. 66)</w:t>
      </w:r>
      <w:r w:rsidRPr="00443270">
        <w:t>. Pettit makes the case that in order to understand freedom we need to address practices of oppression or domination. We cannot pursue freedom for ourselves exclusively – we can gain freedom only if all those who belong to our vulnerabl</w:t>
      </w:r>
      <w:r>
        <w:t>e dominated group gain it too: ‘</w:t>
      </w:r>
      <w:r w:rsidRPr="00443270">
        <w:t>It can be enjoyed by individuals … only so far as it can be enjoyed by the salient groups to which those individuals belong</w:t>
      </w:r>
      <w:r>
        <w:t>’ (Pettit, 1997, p. 125).</w:t>
      </w:r>
      <w:r w:rsidRPr="00443270">
        <w:t xml:space="preserve"> By exposing specific forms of domination – of men over women, of employers over employees, of mainstream over minority cultures - Pettit </w:t>
      </w:r>
      <w:r w:rsidR="00F3241D">
        <w:t>uncovers specific practices of injustice that need to be dealt with</w:t>
      </w:r>
      <w:r w:rsidRPr="00443270">
        <w:t>. Thus even if his theory can be explicated in non-normative terms</w:t>
      </w:r>
      <w:r>
        <w:t xml:space="preserve"> (Pettit, 2006, p. 78)</w:t>
      </w:r>
      <w:r w:rsidRPr="00443270">
        <w:t>, it has significant normative contents.</w:t>
      </w:r>
      <w:r w:rsidRPr="00443270">
        <w:rPr>
          <w:rStyle w:val="EndnoteReference"/>
        </w:rPr>
        <w:endnoteReference w:id="2"/>
      </w:r>
      <w:r w:rsidRPr="00443270">
        <w:t xml:space="preserve"> The phenomenon of domination remains central to the constitution of republican liberty. In order to understand the necessity of freedom, one has to be able to see the injustice involved in practices of oppression as well as to identify the vulnerable groups: those that are subjected to domination. </w:t>
      </w:r>
      <w:proofErr w:type="gramStart"/>
      <w:r w:rsidRPr="00443270">
        <w:t>In t</w:t>
      </w:r>
      <w:r>
        <w:t>he republican sense of liberty ‘</w:t>
      </w:r>
      <w:r w:rsidRPr="00443270">
        <w:t>there is no liberty without equality and justice</w:t>
      </w:r>
      <w:r>
        <w:t>’ (Pettit, 1997, p. 125).</w:t>
      </w:r>
      <w:proofErr w:type="gramEnd"/>
    </w:p>
    <w:p w:rsidR="003044FD" w:rsidRDefault="003044FD" w:rsidP="003044FD">
      <w:pPr>
        <w:jc w:val="both"/>
      </w:pPr>
    </w:p>
    <w:p w:rsidR="003044FD" w:rsidRDefault="00B35E6C" w:rsidP="003044FD">
      <w:pPr>
        <w:jc w:val="both"/>
      </w:pPr>
      <w:r w:rsidRPr="00443270">
        <w:t xml:space="preserve">Pettit’s </w:t>
      </w:r>
      <w:r>
        <w:t>critique of the ‘freedom’ of the ‘free contract’</w:t>
      </w:r>
      <w:r w:rsidRPr="00443270">
        <w:t xml:space="preserve"> makes the link between republican freedom and social justice very obvious. He argues that the development of the doctrine of free contract </w:t>
      </w:r>
      <w:r>
        <w:t>‘</w:t>
      </w:r>
      <w:r w:rsidRPr="00443270">
        <w:t>saw freedom of contract invoked in defence of some fairly appalling contractual arrangements, as people ignored the consequences for domination – as they ignored the asymmetries of power established under the contract – and argued that a contract that wa</w:t>
      </w:r>
      <w:r>
        <w:t>s not actively coerced was free’ (Pettit, 1997, p. 62; see also 1996, p.585).</w:t>
      </w:r>
      <w:r w:rsidRPr="00443270">
        <w:t xml:space="preserve"> This makes it clear that the nature of interference which republican freedom aims to resists is interference associated with domination and asymmetry of power. The inability to identify these as problematic can be very costly in terms of liberty, as demonstrated by the practice of </w:t>
      </w:r>
      <w:r>
        <w:t>‘</w:t>
      </w:r>
      <w:r w:rsidRPr="00443270">
        <w:t>free contract</w:t>
      </w:r>
      <w:r>
        <w:t>’</w:t>
      </w:r>
      <w:r w:rsidRPr="00443270">
        <w:t xml:space="preserve">. Lack of republican liberty is premised on the existence of relations of domination. </w:t>
      </w:r>
    </w:p>
    <w:p w:rsidR="003044FD" w:rsidRDefault="003044FD" w:rsidP="003044FD">
      <w:pPr>
        <w:jc w:val="both"/>
      </w:pPr>
    </w:p>
    <w:p w:rsidR="00B35E6C" w:rsidRPr="00443270" w:rsidRDefault="00B35E6C" w:rsidP="00B35E6C">
      <w:pPr>
        <w:jc w:val="both"/>
      </w:pPr>
    </w:p>
    <w:p w:rsidR="00B44D49" w:rsidRDefault="00B35E6C" w:rsidP="00B44D49">
      <w:pPr>
        <w:jc w:val="both"/>
      </w:pPr>
      <w:r w:rsidRPr="00443270">
        <w:lastRenderedPageBreak/>
        <w:t xml:space="preserve">The problems I would like to outline here can be approached from two sides. The first side of it is not problematic in a normative way: on the contrary, its normative implications are part and parcel of the conceptual significance of Pettit’s republican liberty. It is only the second side that is normatively problematic. The first side of the issue in question is that the concept of republican freedom addresses the freedom deprivation of the oppressed. As discussed in the previous section, the concept is premised on identifying the loss of freedom suffered as a result of domination. Freedom is crucially lacking not in circumstances of interference but in circumstances of power imbalance that allow one group of people to dominate another. Freedom obtains when social injustice of domination is dealt with. But domination does not violate everybody’s freedom in the same way: it is the dominated that suffer depravation of freedom. Freedom understood as non-domination focuses on the provision of freedom for the dominated. Only indirectly it looks after the interests of the dominators: if dominators do become, due to change of circumstances, dominated, then republican freedom would take their plight at heart. As I say, this aspect of republican freedom should not be seen as normatively problematic: the bias towards the victim of social injustice is at the same time impartial service to universal justice. Pettit’s republican theory aims to and does have </w:t>
      </w:r>
      <w:r>
        <w:t>‘</w:t>
      </w:r>
      <w:r w:rsidRPr="00443270">
        <w:t>universal appeal as a language of freedom</w:t>
      </w:r>
      <w:r>
        <w:t>’ (1997, p. 134),</w:t>
      </w:r>
      <w:r w:rsidRPr="00443270">
        <w:t xml:space="preserve"> because defending the interests of the victims of social </w:t>
      </w:r>
      <w:r w:rsidR="001C6BCB">
        <w:t>in</w:t>
      </w:r>
      <w:r w:rsidRPr="00443270">
        <w:t xml:space="preserve">justice can be seen as universal value. However, the acknowledgement that the focus of republican freedom is on the victims of social injustice means that it is not on the perpetrators of this injustice. </w:t>
      </w:r>
    </w:p>
    <w:p w:rsidR="00B44D49" w:rsidRDefault="00B44D49" w:rsidP="00B44D49">
      <w:pPr>
        <w:jc w:val="both"/>
      </w:pPr>
    </w:p>
    <w:p w:rsidR="00B35E6C" w:rsidRPr="00443270" w:rsidRDefault="00B35E6C" w:rsidP="00B44D49">
      <w:pPr>
        <w:jc w:val="both"/>
      </w:pPr>
      <w:r w:rsidRPr="00443270">
        <w:t>We can look at the same issue from the other side by saying that one question to which Pettit does not ascribe much significance is the question about the freedom of the subjugators. The agents who exercise arbitrary interference do not suffer from such interference themselves. In terms of the republican freedom, they are free, as they are not dominated. What is their incentive to change the status quo? The policies that aim to promote freedom, if successfully implemented, are likely to have negative impact on their wellbeing, and make them vulnerable to future losses of freedom.</w:t>
      </w:r>
      <w:r w:rsidRPr="00443270">
        <w:rPr>
          <w:rStyle w:val="EndnoteReference"/>
        </w:rPr>
        <w:endnoteReference w:id="3"/>
      </w:r>
      <w:r w:rsidRPr="00443270">
        <w:t xml:space="preserve"> One of the reasons that reduced capacities to dominate may indirectly undermine their freedom is that the former will also reduce their resilience to the power of the others: resilience that is a crucial aspect of one’s </w:t>
      </w:r>
      <w:r>
        <w:t>‘</w:t>
      </w:r>
      <w:r w:rsidRPr="00443270">
        <w:t>antipower</w:t>
      </w:r>
      <w:r>
        <w:t>’ (Pettit, 1996, p. 589)</w:t>
      </w:r>
      <w:r w:rsidRPr="00443270">
        <w:t xml:space="preserve">. </w:t>
      </w:r>
      <w:r w:rsidR="00B44D49">
        <w:t xml:space="preserve">I will look into these two issues – reduced wellbeing and </w:t>
      </w:r>
      <w:r w:rsidRPr="00443270">
        <w:t>reduced resilience - in more detail.</w:t>
      </w:r>
    </w:p>
    <w:p w:rsidR="00B44D49" w:rsidRDefault="00B44D49" w:rsidP="00B44D49">
      <w:pPr>
        <w:jc w:val="both"/>
      </w:pPr>
    </w:p>
    <w:p w:rsidR="007D30DE" w:rsidRDefault="00B35E6C" w:rsidP="007D30DE">
      <w:pPr>
        <w:jc w:val="both"/>
      </w:pPr>
      <w:r w:rsidRPr="00443270">
        <w:t xml:space="preserve">Pettit does acknowledge that the ideal of freedom as </w:t>
      </w:r>
      <w:proofErr w:type="spellStart"/>
      <w:r w:rsidRPr="00443270">
        <w:t>nondomination</w:t>
      </w:r>
      <w:proofErr w:type="spellEnd"/>
      <w:r w:rsidRPr="00443270">
        <w:t xml:space="preserve"> will not enhance the wellbeing of the dominators. This is the logic behind his claim that freedom as </w:t>
      </w:r>
      <w:proofErr w:type="spellStart"/>
      <w:r w:rsidRPr="00443270">
        <w:t>nondomination</w:t>
      </w:r>
      <w:proofErr w:type="spellEnd"/>
      <w:r w:rsidRPr="00443270">
        <w:t xml:space="preserve"> as a </w:t>
      </w:r>
      <w:r w:rsidRPr="00443270">
        <w:rPr>
          <w:i/>
        </w:rPr>
        <w:t>partially</w:t>
      </w:r>
      <w:r w:rsidRPr="00443270">
        <w:t xml:space="preserve"> common good. It is a </w:t>
      </w:r>
      <w:r w:rsidRPr="00443270">
        <w:rPr>
          <w:i/>
        </w:rPr>
        <w:t>partially</w:t>
      </w:r>
      <w:r w:rsidRPr="00443270">
        <w:t xml:space="preserve"> common good because it promotes the wellbeing of those in subjugated positions</w:t>
      </w:r>
      <w:r>
        <w:t xml:space="preserve"> (Pettit, 1997, p. 124)</w:t>
      </w:r>
      <w:r w:rsidRPr="00443270">
        <w:t>. It will become a common good, that is, good for all, once subjugators do not exist. So the process that will deprive the dominating party of its potentially oppressive power is likely to impact negatively the wellbeing of its members.</w:t>
      </w:r>
    </w:p>
    <w:p w:rsidR="007D30DE" w:rsidRDefault="007D30DE" w:rsidP="007D30DE">
      <w:pPr>
        <w:jc w:val="both"/>
      </w:pPr>
    </w:p>
    <w:p w:rsidR="00B35E6C" w:rsidRDefault="00B35E6C" w:rsidP="007D30DE">
      <w:pPr>
        <w:jc w:val="both"/>
      </w:pPr>
      <w:r w:rsidRPr="00443270">
        <w:t xml:space="preserve">It could be argued that the possession of subjugating powers is so undesirable that the loss of wellbeing the subjugators will suffer is a reasonable penalty for the previously caused injustice. A republican freedom exponent would say that this loss of wellbeing is not a loss of republican liberty as the dominators will be exposed </w:t>
      </w:r>
      <w:r>
        <w:t xml:space="preserve">only </w:t>
      </w:r>
      <w:r w:rsidRPr="00443270">
        <w:t xml:space="preserve">to non-arbitrary interference. But this would be a tricky line to sustain. The dominators are likely to see the change in their status as a loss of liberty. The fact that this will not be loss of republican liberty will be of little relevance to them: their ability to do as they </w:t>
      </w:r>
      <w:r w:rsidRPr="00443270">
        <w:lastRenderedPageBreak/>
        <w:t xml:space="preserve">like will be reduced and their claim to lost liberty would be well understood by many. In the case of the dominators, there is a significant discrepancy between their own assessment of their liberty and the republican liberty. It is important to note that in the case of the dominated, this discrepancy does not occur: in their case their demand for liberty will be satisfied by the provision of republican liberty. In other words, those in subjugated position are likely to experience the changes that bring republican freedom as coherent with their wellbeing, while those who had possessed potentially oppressive powers are likely to experience their republican freedom as clashing with their wellbeing. A discrepancy between the concept of republican freedom and the wellbeing of the agent of this freedom would be problematic for a republican theorist. Pettit would not be comfortable with the suggestion that the powers of the powerful could be curtailed irrespective of their own judgement on the matter. On his terms, this would amount to arbitrary interference – and interference that will fail </w:t>
      </w:r>
      <w:r>
        <w:t>‘</w:t>
      </w:r>
      <w:r w:rsidRPr="00443270">
        <w:t>to track their interests according to their ideas</w:t>
      </w:r>
      <w:r>
        <w:t>’ (1997, p. 68).</w:t>
      </w:r>
      <w:r w:rsidRPr="00443270">
        <w:rPr>
          <w:rStyle w:val="EndnoteReference"/>
        </w:rPr>
        <w:endnoteReference w:id="4"/>
      </w:r>
      <w:r w:rsidRPr="00443270">
        <w:t xml:space="preserve"> The case where some of the powers of the dominating party would be forcefully taken away would amount to an arrangement which </w:t>
      </w:r>
      <w:r>
        <w:t>‘</w:t>
      </w:r>
      <w:r w:rsidRPr="00443270">
        <w:t>however well it serves the previously dominated parties, will not serve the interests of the previously dominant one: it will be a dominating form of interference from that agent’s point of view</w:t>
      </w:r>
      <w:r>
        <w:t>’ (Pettit, 1997, p. 68).</w:t>
      </w:r>
      <w:r w:rsidRPr="00443270">
        <w:t xml:space="preserve"> </w:t>
      </w:r>
      <w:r>
        <w:t xml:space="preserve">Pettit may even be prepared to say – and he would still be consistent with his premises - that the dominators’ subjective judgement of their situation can be overruled. It is not their interests as personally expressed that matter when we define non-arbitrary interference, but their ‘avowal-ready interests’ (2006, p. 282). But overruling one’s subjective judgement of their interests, and related to that, of what violates their freedom, is not unproblematic. </w:t>
      </w:r>
      <w:r w:rsidRPr="00443270">
        <w:t>My claim here is that although republican freedom does not aim to track the wellbeing of the agent but only</w:t>
      </w:r>
      <w:r>
        <w:t xml:space="preserve"> his non-</w:t>
      </w:r>
      <w:r w:rsidRPr="00443270">
        <w:t>subjection to arbitrary interference, the agent’s own judgement of what counts as arbitrary interference should matter. The fact that the wellbeing of the dominators comes to tension with their republican freedom is an issue that the republican concept of liberty does not address.</w:t>
      </w:r>
    </w:p>
    <w:p w:rsidR="00F3241D" w:rsidRDefault="00F3241D" w:rsidP="007D30DE">
      <w:pPr>
        <w:jc w:val="both"/>
      </w:pPr>
    </w:p>
    <w:p w:rsidR="00F3241D" w:rsidRPr="00443270" w:rsidRDefault="00F3241D" w:rsidP="007D30DE">
      <w:pPr>
        <w:jc w:val="both"/>
      </w:pPr>
      <w:r>
        <w:t>This point can be made in a more straightforward manner if we use Berlin’s negative freedom concept. We could say that the republican policies aiming to reduce/ end domination will diminish the negative freedom of the dominators. This will not be controversial from the premises of republican freedom – or so, republi</w:t>
      </w:r>
      <w:r w:rsidR="000D4A66">
        <w:t>cans would say. I argue that this</w:t>
      </w:r>
      <w:r>
        <w:t xml:space="preserve"> </w:t>
      </w:r>
      <w:r w:rsidR="000D4A66">
        <w:t>‘collision’ between</w:t>
      </w:r>
      <w:r>
        <w:t xml:space="preserve"> republican and negative freedom is not unproblematic</w:t>
      </w:r>
      <w:r w:rsidR="000D4A66">
        <w:t>.</w:t>
      </w:r>
    </w:p>
    <w:p w:rsidR="007D30DE" w:rsidRDefault="007D30DE" w:rsidP="007D30DE">
      <w:pPr>
        <w:jc w:val="both"/>
      </w:pPr>
    </w:p>
    <w:p w:rsidR="00B35E6C" w:rsidRPr="00443270" w:rsidRDefault="00B35E6C" w:rsidP="007D30DE">
      <w:pPr>
        <w:jc w:val="both"/>
      </w:pPr>
      <w:r w:rsidRPr="00443270">
        <w:t xml:space="preserve">The second problem with the impact of the republican policies on the freedom of the dominators is that, although these policies do not reduce their republican freedom they reduce some of the dominators’ resources and thus affect their capacity to develop resilience against the potential subjugating powers of others. A brief summary of Pettit’s argument from </w:t>
      </w:r>
      <w:r>
        <w:t>‘</w:t>
      </w:r>
      <w:r w:rsidRPr="00443270">
        <w:t>Freedom as Antipower</w:t>
      </w:r>
      <w:r>
        <w:t>’</w:t>
      </w:r>
      <w:r w:rsidRPr="00443270">
        <w:t xml:space="preserve"> would explain the link between possession of certain resources and resilience to the domination of others. The reason, Pettit argues, that some have subjugating power and others suffer from the existence of such powers is that the two sets of people have unequal access to </w:t>
      </w:r>
      <w:r>
        <w:t>‘</w:t>
      </w:r>
      <w:r w:rsidRPr="00443270">
        <w:t>resources</w:t>
      </w:r>
      <w:r>
        <w:t>’</w:t>
      </w:r>
      <w:r w:rsidRPr="00443270">
        <w:t xml:space="preserve">. The nature of the resources in virtue of which some may have power over others varies, and these resources include </w:t>
      </w:r>
      <w:r>
        <w:t>‘</w:t>
      </w:r>
      <w:r w:rsidRPr="00443270">
        <w:t>physical strength, technical advantage, financial clout, political authority, social connections, communal standing, informational access, ideological position, cultural legitimation</w:t>
      </w:r>
      <w:r>
        <w:t>’</w:t>
      </w:r>
      <w:r w:rsidRPr="00443270">
        <w:t xml:space="preserve"> among others</w:t>
      </w:r>
      <w:r>
        <w:t xml:space="preserve"> (Pettit, </w:t>
      </w:r>
      <w:r>
        <w:lastRenderedPageBreak/>
        <w:t>1996, p. 583)</w:t>
      </w:r>
      <w:r w:rsidRPr="00443270">
        <w:t>. The following quote gives a vivid picture about how the unequal access to resources can explain the existence of subjugation power:</w:t>
      </w:r>
    </w:p>
    <w:p w:rsidR="00B35E6C" w:rsidRPr="00443270" w:rsidRDefault="00B35E6C" w:rsidP="00B35E6C">
      <w:pPr>
        <w:jc w:val="both"/>
      </w:pPr>
    </w:p>
    <w:p w:rsidR="00B35E6C" w:rsidRPr="00443270" w:rsidRDefault="00B35E6C" w:rsidP="00B35E6C">
      <w:pPr>
        <w:ind w:left="567" w:right="567"/>
        <w:jc w:val="both"/>
      </w:pPr>
      <w:r w:rsidRPr="00443270">
        <w:t>It is always a difference in resources or the difference in preparedness to use resources – a difference in effective resources – that enables one agent to interfere arbitrarily in the affairs of another. The bully, physical or emotional, has greater pugilistic resources – or at least effective resources – than the bullied. The husband has greater physical, and in most societies, cultural resources than the wife. The employer has greater financial and probably legal resources, than the employee, and so on.</w:t>
      </w:r>
      <w:r w:rsidRPr="00AA484A">
        <w:t xml:space="preserve"> </w:t>
      </w:r>
      <w:r>
        <w:t>(Pettit, 1996, p. 589)</w:t>
      </w:r>
    </w:p>
    <w:p w:rsidR="007D30DE" w:rsidRDefault="007D30DE" w:rsidP="007D30DE">
      <w:pPr>
        <w:jc w:val="both"/>
      </w:pPr>
    </w:p>
    <w:p w:rsidR="00B35E6C" w:rsidRPr="00443270" w:rsidRDefault="00B35E6C" w:rsidP="007D30DE">
      <w:pPr>
        <w:jc w:val="both"/>
      </w:pPr>
      <w:r w:rsidRPr="00443270">
        <w:t xml:space="preserve">The conclusion is that in order to reduce domination we have to think of ways to compensate or redress such imbalances. Pettit offers three types of policies. The first is to give the powerless protection against the resources of the powerful and they include the </w:t>
      </w:r>
      <w:proofErr w:type="spellStart"/>
      <w:r w:rsidRPr="00443270">
        <w:t>nonvoluntaristic</w:t>
      </w:r>
      <w:proofErr w:type="spellEnd"/>
      <w:r w:rsidRPr="00443270">
        <w:t xml:space="preserve"> regime of law and the criminal justice system. The second is to regulate the use that the powerful make of their resources and these can be implemented by the so called </w:t>
      </w:r>
      <w:r>
        <w:t>‘</w:t>
      </w:r>
      <w:r w:rsidRPr="00443270">
        <w:t>regulatory</w:t>
      </w:r>
      <w:r>
        <w:t>’</w:t>
      </w:r>
      <w:r w:rsidRPr="00443270">
        <w:t xml:space="preserve"> institutions. The latter aim to address imbalances of political and economic power and they include regular elections, democratic discussion, separation of powers, availability of appeal and review, regulations against unfair employment practices, against monopoly power and misleading representation, against insider trading and inadequate accounting, among others</w:t>
      </w:r>
      <w:r>
        <w:t xml:space="preserve"> (see Pettit, 1996, p. 591)</w:t>
      </w:r>
      <w:r w:rsidRPr="00443270">
        <w:t>.</w:t>
      </w:r>
      <w:r w:rsidRPr="00443270">
        <w:rPr>
          <w:rStyle w:val="EndnoteReference"/>
        </w:rPr>
        <w:t xml:space="preserve"> </w:t>
      </w:r>
      <w:r w:rsidRPr="00443270">
        <w:t xml:space="preserve">The third set of policies aims to give the powerless new empowering resources of their own so they become able to resist various form of subjugation. This is the type of empowering related to welfare-state initiatives. The purpose is </w:t>
      </w:r>
      <w:r>
        <w:t>‘</w:t>
      </w:r>
      <w:r w:rsidRPr="00443270">
        <w:t>to enhance the day-to-day capacities of people</w:t>
      </w:r>
      <w:r>
        <w:t>’</w:t>
      </w:r>
      <w:r w:rsidRPr="00443270">
        <w:t xml:space="preserve"> by providing education, access to vital cultural services like communication and transportation, suitable insurance coverage or direct provision of medical or legal services</w:t>
      </w:r>
      <w:r>
        <w:t xml:space="preserve"> (Pettit, 1996, p. 591)</w:t>
      </w:r>
      <w:r w:rsidRPr="00443270">
        <w:t xml:space="preserve">. </w:t>
      </w:r>
    </w:p>
    <w:p w:rsidR="007D30DE" w:rsidRDefault="007D30DE" w:rsidP="007D30DE">
      <w:pPr>
        <w:jc w:val="both"/>
      </w:pPr>
    </w:p>
    <w:p w:rsidR="00B35E6C" w:rsidRDefault="00B35E6C" w:rsidP="007D30DE">
      <w:pPr>
        <w:jc w:val="both"/>
      </w:pPr>
      <w:r w:rsidRPr="00443270">
        <w:t xml:space="preserve">We need resources in order to develop resilience against the potentially subjugating powers of those who have disproportionally more resources than ourselves. These resources allow us to develop antipower which is our </w:t>
      </w:r>
      <w:r>
        <w:t>‘</w:t>
      </w:r>
      <w:r w:rsidRPr="00443270">
        <w:t>capacity to command non-interference</w:t>
      </w:r>
      <w:r>
        <w:t>’</w:t>
      </w:r>
      <w:r w:rsidRPr="00443270">
        <w:t xml:space="preserve"> or to enjoy </w:t>
      </w:r>
      <w:r>
        <w:t>‘</w:t>
      </w:r>
      <w:r w:rsidRPr="00443270">
        <w:t xml:space="preserve">non-interference </w:t>
      </w:r>
      <w:r w:rsidRPr="00443270">
        <w:rPr>
          <w:i/>
        </w:rPr>
        <w:t>resiliently</w:t>
      </w:r>
      <w:r w:rsidRPr="00443270">
        <w:t>, not in virtue of any accident or contingency</w:t>
      </w:r>
      <w:r>
        <w:t>’ (Pettit, 1996, p. 589, emphasis added)</w:t>
      </w:r>
      <w:r w:rsidRPr="00443270">
        <w:t xml:space="preserve">. The fact that in the process of building antipower for those exposed to dominating power, the resources of the powerful would be made less efficient or decreased altogether, should not impact the republican freedom of the latter, because they have disproportionally more resources to start with. </w:t>
      </w:r>
    </w:p>
    <w:p w:rsidR="007D30DE" w:rsidRDefault="007D30DE" w:rsidP="007D30DE">
      <w:pPr>
        <w:jc w:val="both"/>
      </w:pPr>
    </w:p>
    <w:p w:rsidR="00B340D7" w:rsidRDefault="00B35E6C" w:rsidP="007D30DE">
      <w:pPr>
        <w:jc w:val="both"/>
      </w:pPr>
      <w:r>
        <w:t>The process of regulating the resources of the powerful, however, may have adverse impact on their republican freedom. For example,</w:t>
      </w:r>
      <w:r w:rsidRPr="00443270">
        <w:t xml:space="preserve"> in a dynamic world the asymmetries of resources may change faster than the regulatory policies: there is a risk that somebody’s resources may be wrongly deemed disproportionally higher while as a matter of fact they are needed to build up resilience. </w:t>
      </w:r>
      <w:r>
        <w:t xml:space="preserve">In other words, the more powerful may not be entitled to more resources, but if their position were to change, such resources would be needed for their freedom. In an environment of uncertainty, one would seek to have more rather than less resources in view of the long term protection of their freedom. </w:t>
      </w:r>
      <w:r w:rsidRPr="00443270">
        <w:t xml:space="preserve">Another pertinent consideration here is that we belong to different groups and thus take part different asymmetrical relations: in some </w:t>
      </w:r>
      <w:r w:rsidRPr="00443270">
        <w:lastRenderedPageBreak/>
        <w:t>relations we may have potential to dominate, while in others we may be vulnerable to the dominating powers of others. So even if our resources may be potentially threatening to the freedom of one group of people, they may also be badly needed for our own protection from another group. Blocking the resources of the disproportionally more powerful will not decrease their republican freedom in the context of one particular relationship but may undermine their capacity to buil</w:t>
      </w:r>
      <w:r>
        <w:t>d resilience in the context of a</w:t>
      </w:r>
      <w:r w:rsidRPr="00443270">
        <w:t xml:space="preserve"> different relationship where the asymmetry of power works the other way round.</w:t>
      </w:r>
    </w:p>
    <w:p w:rsidR="000D4A66" w:rsidRDefault="000D4A66" w:rsidP="007D30DE">
      <w:pPr>
        <w:jc w:val="both"/>
      </w:pPr>
    </w:p>
    <w:p w:rsidR="000D4A66" w:rsidRDefault="00CA7FCC" w:rsidP="007D30DE">
      <w:pPr>
        <w:jc w:val="both"/>
      </w:pPr>
      <w:r>
        <w:t xml:space="preserve">This long examination of the link between the republican freedom and the command of certain </w:t>
      </w:r>
      <w:proofErr w:type="gramStart"/>
      <w:r>
        <w:t>resources,</w:t>
      </w:r>
      <w:proofErr w:type="gramEnd"/>
      <w:r>
        <w:t xml:space="preserve"> pursues a specific objective. I do not want to argue that the disproportionally more powerful are entitled to keep their resources or to claim more: here I agree with Pettit, that they are not. My argument is that their resources, however, are constitutive of their freedom. It is not the case that, for the dominated, there exists </w:t>
      </w:r>
      <w:proofErr w:type="gramStart"/>
      <w:r>
        <w:t>a continuity</w:t>
      </w:r>
      <w:proofErr w:type="gramEnd"/>
      <w:r>
        <w:t xml:space="preserve"> between their command of resources and their freedom, while such continuity does not exists for the dominators.</w:t>
      </w:r>
      <w:r w:rsidR="000005D5">
        <w:t xml:space="preserve"> Or, if this is the case, we need some new arguments: arguments not currently available in the republican freedom arsenal. </w:t>
      </w:r>
    </w:p>
    <w:p w:rsidR="000D4A66" w:rsidRDefault="000D4A66" w:rsidP="007D30DE">
      <w:pPr>
        <w:jc w:val="both"/>
      </w:pPr>
    </w:p>
    <w:p w:rsidR="00B340D7" w:rsidRPr="004675AD" w:rsidRDefault="00B340D7" w:rsidP="004675AD">
      <w:pPr>
        <w:pStyle w:val="ListParagraph"/>
        <w:numPr>
          <w:ilvl w:val="0"/>
          <w:numId w:val="2"/>
        </w:numPr>
        <w:rPr>
          <w:b/>
        </w:rPr>
      </w:pPr>
      <w:r w:rsidRPr="004675AD">
        <w:rPr>
          <w:b/>
        </w:rPr>
        <w:t>Hobhouse’s liberty</w:t>
      </w:r>
    </w:p>
    <w:p w:rsidR="0010557C" w:rsidRDefault="0010557C" w:rsidP="009C6E63"/>
    <w:p w:rsidR="0010557C" w:rsidRDefault="0010557C" w:rsidP="0010557C">
      <w:r>
        <w:t>I will put Hobhouse</w:t>
      </w:r>
      <w:r w:rsidR="008A3195">
        <w:t>’s liberty</w:t>
      </w:r>
      <w:r>
        <w:t xml:space="preserve"> to the same test to which I have subjected Pett</w:t>
      </w:r>
      <w:r w:rsidR="008A3195">
        <w:t>it’s concept of freedom: does Hobhouse</w:t>
      </w:r>
      <w:r>
        <w:t xml:space="preserve"> take into account the liberty of those who we see as the key perpetrators of freedom? Hobhouse’s theorisation of liberty is mindful of the freedom of freedom perpetrators in two ways. First, he does acknowledge that</w:t>
      </w:r>
      <w:r w:rsidR="008A3195">
        <w:t xml:space="preserve"> those who obstruct liberty as </w:t>
      </w:r>
      <w:r w:rsidR="006D1F4A">
        <w:t>personal growth available to all</w:t>
      </w:r>
      <w:r w:rsidR="008A3195">
        <w:t xml:space="preserve"> will be ‘coerced’ to stop doing so. ‘The function of the State coercion is to override individual coercion.’ (</w:t>
      </w:r>
      <w:r w:rsidR="008A3195" w:rsidRPr="008A3195">
        <w:rPr>
          <w:i/>
        </w:rPr>
        <w:t>Liberalism</w:t>
      </w:r>
      <w:r w:rsidR="008A3195">
        <w:t xml:space="preserve">, </w:t>
      </w:r>
      <w:r w:rsidR="008A2A4F">
        <w:t xml:space="preserve">p. </w:t>
      </w:r>
      <w:r w:rsidR="008A3195">
        <w:t>78) This language of ‘coercion’ is a form of acknowledgement that some liberty will be taken away.</w:t>
      </w:r>
      <w:r w:rsidR="001C6BCB">
        <w:t xml:space="preserve"> Voluntariness remains a key aspect of freedom even when liberty is defined as personal growth available to all. </w:t>
      </w:r>
      <w:r w:rsidR="00724659">
        <w:t>In its departure from</w:t>
      </w:r>
      <w:r w:rsidR="001C6BCB">
        <w:t xml:space="preserve"> the ‘old liberal’</w:t>
      </w:r>
      <w:r w:rsidR="00724659" w:rsidRPr="00724659">
        <w:t xml:space="preserve"> </w:t>
      </w:r>
      <w:r w:rsidR="00724659">
        <w:t>concept of freedom, the</w:t>
      </w:r>
      <w:r w:rsidR="001C6BCB">
        <w:t xml:space="preserve"> </w:t>
      </w:r>
      <w:r w:rsidR="00724659">
        <w:t xml:space="preserve">‘new liberal’ </w:t>
      </w:r>
      <w:r w:rsidR="001C6BCB">
        <w:t>one does not abandon the premise that a free person always acts according to his/her will.</w:t>
      </w:r>
    </w:p>
    <w:p w:rsidR="0010557C" w:rsidRDefault="0010557C" w:rsidP="009C6E63"/>
    <w:p w:rsidR="00BF540F" w:rsidRDefault="00BF540F" w:rsidP="00BF540F">
      <w:r>
        <w:t xml:space="preserve">Second, the concepts of liberty as </w:t>
      </w:r>
      <w:r w:rsidR="006D1F4A">
        <w:t>personal growth available to all</w:t>
      </w:r>
      <w:r>
        <w:t xml:space="preserve"> offers a model for rethinking</w:t>
      </w:r>
      <w:r w:rsidR="000005D5">
        <w:t xml:space="preserve"> your wellbeing in accordance with the</w:t>
      </w:r>
      <w:r>
        <w:t xml:space="preserve"> circumstances you are in. If freedom is about personal growth, we have a say about when exactly we are free. A concept of freedom as personal growth allows adjustment of your demands to the social circumstances you are in. This flexibility inherent in the notion of growth, allows our f</w:t>
      </w:r>
      <w:r w:rsidR="000005D5">
        <w:t>reedom to be aligned not just with</w:t>
      </w:r>
      <w:r>
        <w:t xml:space="preserve"> social justice, but also with voluntariness and wellbeing. Even in the case of freedom perpetrators, the coercive state </w:t>
      </w:r>
      <w:r w:rsidR="008A45ED">
        <w:t>action</w:t>
      </w:r>
      <w:r w:rsidR="008A2A4F">
        <w:t xml:space="preserve"> could be continuous with their voluntary demands.</w:t>
      </w:r>
    </w:p>
    <w:p w:rsidR="00BF540F" w:rsidRDefault="00BF540F" w:rsidP="009C6E63"/>
    <w:p w:rsidR="006E05BC" w:rsidRDefault="006E05BC" w:rsidP="009C6E63">
      <w:r>
        <w:t>In this section I will demonstrate the similarities between Pettit’s republican and Hobhouse’s new liberal concept of liberty</w:t>
      </w:r>
      <w:r w:rsidR="00767756">
        <w:t>, in terms of their continuity with social justice and command of resources,</w:t>
      </w:r>
      <w:r>
        <w:t xml:space="preserve"> and then make the case that Hobhouse’s liberty achieves the continuity with voluntariness and wellbeing more</w:t>
      </w:r>
      <w:r w:rsidR="00767756">
        <w:t xml:space="preserve"> successfully than Pettit’s.</w:t>
      </w:r>
    </w:p>
    <w:p w:rsidR="00767756" w:rsidRDefault="00767756" w:rsidP="009C6E63"/>
    <w:p w:rsidR="00BB0BB9" w:rsidRDefault="004675AD" w:rsidP="004675AD">
      <w:pPr>
        <w:pStyle w:val="ListParagraph"/>
        <w:numPr>
          <w:ilvl w:val="1"/>
          <w:numId w:val="2"/>
        </w:numPr>
      </w:pPr>
      <w:r>
        <w:t xml:space="preserve"> Hobhouse on liberty and the welfare state</w:t>
      </w:r>
    </w:p>
    <w:p w:rsidR="004675AD" w:rsidRDefault="004675AD" w:rsidP="004675AD"/>
    <w:p w:rsidR="004675AD" w:rsidRDefault="004675AD" w:rsidP="004675AD">
      <w:proofErr w:type="spellStart"/>
      <w:r>
        <w:lastRenderedPageBreak/>
        <w:t>T.H.Green’s</w:t>
      </w:r>
      <w:proofErr w:type="spellEnd"/>
      <w:r>
        <w:t xml:space="preserve"> political theory has served as an example of the ability of the British idealist philosophy to justify social reform (Richter, p. 266, Nicholson, pp 132-81, Tyler, pp 1-13, den Otter). His </w:t>
      </w:r>
      <w:r w:rsidRPr="000950EF">
        <w:rPr>
          <w:i/>
          <w:iCs/>
        </w:rPr>
        <w:t>Lecture on Liberal Legislation</w:t>
      </w:r>
      <w:r>
        <w:t xml:space="preserve"> (1986b, 1881) is a paradigm example of how idealist moral philosophy and social critique of existing institutions go hand in hand. More specifically, the lecture demonstrated the capacity of the idealist concept of positive freedom to justify new legislation envisaging a larger role of the state in the regulation of work and land tenancy contract. We can argue, however, that Green left the mission incomplete. He ‘opened up’ legitimate space for state interference but the examples he gave of it were limited in number and only sketched a soft touch state involvement. The balance he tried to strike between the state helping but not interfering, left an air of ambiguity about the level and contents of state intervention (1986a, 1895 p. 21). It was the New Liberals, whose most high profile exponents were L.T.Hobhouse and John Hobson, who took the hints for social reform and filled them up with more substance. The type and scope of state action they recommended are nowadays associated with concept of the welfare state.</w:t>
      </w:r>
    </w:p>
    <w:p w:rsidR="004675AD" w:rsidRDefault="004675AD" w:rsidP="004675AD"/>
    <w:p w:rsidR="004675AD" w:rsidRDefault="004675AD" w:rsidP="004675AD">
      <w:r>
        <w:t xml:space="preserve">The New Liberals cashed in the political implications of positive freedom seen as ‘the maximum of power for all members of human society alike to make the best of themselves’ (Green, 1986a, p. 200) in terms of specific suggestions for state action. Hobhouse’s monograph </w:t>
      </w:r>
      <w:r w:rsidRPr="00CB3E39">
        <w:rPr>
          <w:i/>
          <w:iCs/>
        </w:rPr>
        <w:t>Liberalism</w:t>
      </w:r>
      <w:r>
        <w:t xml:space="preserve"> outlined an ideology that has </w:t>
      </w:r>
      <w:r w:rsidR="00724659">
        <w:t xml:space="preserve">undergone substantive change: Hobhouse’s was not just </w:t>
      </w:r>
      <w:proofErr w:type="gramStart"/>
      <w:r w:rsidR="00724659">
        <w:t xml:space="preserve">a </w:t>
      </w:r>
      <w:r>
        <w:t xml:space="preserve"> development</w:t>
      </w:r>
      <w:proofErr w:type="gramEnd"/>
      <w:r>
        <w:t xml:space="preserve"> of the </w:t>
      </w:r>
      <w:r w:rsidRPr="00CB3E39">
        <w:rPr>
          <w:i/>
          <w:iCs/>
        </w:rPr>
        <w:t>laissez faire</w:t>
      </w:r>
      <w:r>
        <w:t xml:space="preserve"> liberalism but </w:t>
      </w:r>
      <w:r w:rsidR="00724659">
        <w:t>also its transformation</w:t>
      </w:r>
      <w:r>
        <w:t xml:space="preserve">. Liberty is fostered better not by letting people alone but by helping them to develop their personality. </w:t>
      </w:r>
      <w:proofErr w:type="gramStart"/>
      <w:r>
        <w:t xml:space="preserve">‘Harmony in the full sense would not involve merely absence of conflict but actual support’, the latter meaning ‘improvement of the conditions of life’ </w:t>
      </w:r>
      <w:r w:rsidRPr="005502A1">
        <w:t>(</w:t>
      </w:r>
      <w:r w:rsidRPr="005502A1">
        <w:rPr>
          <w:i/>
          <w:iCs/>
        </w:rPr>
        <w:t>L</w:t>
      </w:r>
      <w:r>
        <w:t>, p. 69).</w:t>
      </w:r>
      <w:proofErr w:type="gramEnd"/>
      <w:r>
        <w:t xml:space="preserve">  </w:t>
      </w:r>
    </w:p>
    <w:p w:rsidR="004675AD" w:rsidRDefault="004675AD" w:rsidP="004675AD"/>
    <w:p w:rsidR="004675AD" w:rsidRDefault="004675AD" w:rsidP="004675AD">
      <w:r>
        <w:t xml:space="preserve">The main justification for this re-defining of the role of the state from non-interfering to providing actual support is the New Liberal reading of liberty as </w:t>
      </w:r>
      <w:r w:rsidR="006D1F4A">
        <w:t>personal growth available to all</w:t>
      </w:r>
      <w:r>
        <w:t>. Hobhouse’s definition of liberty inherits the spirit of the British idealist positive liberty. For him the ‘foundation of liberty is the idea of growth’ (</w:t>
      </w:r>
      <w:r w:rsidRPr="00487979">
        <w:rPr>
          <w:i/>
          <w:iCs/>
        </w:rPr>
        <w:t>L</w:t>
      </w:r>
      <w:r>
        <w:t>, p.66). The conception of liberty is ‘broadened out to cover the whole idea of personality’ and ‘manhood’ and ‘womanhood’, he argues, rest on ‘spontaneous development of faculty’ (</w:t>
      </w:r>
      <w:r w:rsidRPr="00487979">
        <w:rPr>
          <w:i/>
          <w:iCs/>
        </w:rPr>
        <w:t>L</w:t>
      </w:r>
      <w:r>
        <w:t>, p. 60). We need a supportive state because liberty does not belong to us as a matter of course, but is acquired through the process of developing our personality. Liberty is a good which we acquire through effort: this outlines the space for the state’s helping hand.</w:t>
      </w:r>
    </w:p>
    <w:p w:rsidR="004675AD" w:rsidRDefault="004675AD" w:rsidP="004675AD"/>
    <w:p w:rsidR="004675AD" w:rsidRDefault="004675AD" w:rsidP="004675AD">
      <w:r>
        <w:t>What specific forms of state support does Hobhouse envisage? He did take a significant step beyond Green’s recommendations for legislative reform by arguing that ‘[t]he “right to work” and the right to a “living wage” are just as valid as the rights of person or property’ (</w:t>
      </w:r>
      <w:r w:rsidRPr="00583EC8">
        <w:rPr>
          <w:i/>
          <w:iCs/>
        </w:rPr>
        <w:t>L</w:t>
      </w:r>
      <w:r>
        <w:t>, pp. 83-4). He supported a policy of a ‘super-tax on large incomes from whatever source’ (</w:t>
      </w:r>
      <w:r w:rsidRPr="00583EC8">
        <w:rPr>
          <w:i/>
          <w:iCs/>
        </w:rPr>
        <w:t>L</w:t>
      </w:r>
      <w:r>
        <w:t>, p. 103). The discussion of ‘the principles for equitable distribution’ was for him part and parcel of explaining how liberty can be promoted.</w:t>
      </w:r>
    </w:p>
    <w:p w:rsidR="004675AD" w:rsidRDefault="004675AD" w:rsidP="004675AD"/>
    <w:p w:rsidR="004675AD" w:rsidRDefault="004675AD" w:rsidP="004675AD">
      <w:r>
        <w:t xml:space="preserve">One of his distinct arguments in support of a proactive state is about the social nature of private property. He claims that without the social provision of justice, order and skilled labour, nobody would have succeeded in their business endeavours. He also points out to the social nature of the process of production which relies on ‘the </w:t>
      </w:r>
      <w:r>
        <w:lastRenderedPageBreak/>
        <w:t>machinery which the brains of other men have devised, of the human apparatus which is the gift of acquired civilisation’ (</w:t>
      </w:r>
      <w:r w:rsidRPr="00D91510">
        <w:rPr>
          <w:i/>
          <w:iCs/>
        </w:rPr>
        <w:t>L</w:t>
      </w:r>
      <w:r>
        <w:t>, p. 99).</w:t>
      </w:r>
    </w:p>
    <w:p w:rsidR="004675AD" w:rsidRDefault="004675AD" w:rsidP="004675AD"/>
    <w:p w:rsidR="004675AD" w:rsidRDefault="004675AD" w:rsidP="004675AD">
      <w:r>
        <w:t xml:space="preserve">In </w:t>
      </w:r>
      <w:r w:rsidRPr="00F1002B">
        <w:rPr>
          <w:i/>
          <w:iCs/>
        </w:rPr>
        <w:t>Liberalism</w:t>
      </w:r>
      <w:r>
        <w:t xml:space="preserve"> Hobhouse is trying, not unlike Green, to draw a fine balance between protecting individuals’ liberty by interfering as little as possible in their private affairs, on the one hand, and providing the conditions that support them in the development of their personality, on the other. The significant advancement upon Green is that he makes the philosophical case for more substantive state support. The economics of redistribution is related to the politics of freedom, because property and wealth have social components. The property does not belong fully to the individuals who own it because they would not have acquired it independently of the social system of production. Policies should be undertaken in order to redress this misunderstanding of the status of wealth. </w:t>
      </w:r>
    </w:p>
    <w:p w:rsidR="004675AD" w:rsidRDefault="004675AD" w:rsidP="004675AD"/>
    <w:p w:rsidR="004675AD" w:rsidRPr="000950EF" w:rsidRDefault="004675AD" w:rsidP="004675AD"/>
    <w:p w:rsidR="008A45ED" w:rsidRDefault="00766F03" w:rsidP="008A45ED">
      <w:pPr>
        <w:jc w:val="both"/>
      </w:pPr>
      <w:r>
        <w:t xml:space="preserve">The conditions for liberty envisaged by Hobhouse include not just </w:t>
      </w:r>
      <w:r w:rsidR="008A45ED">
        <w:t xml:space="preserve">material </w:t>
      </w:r>
      <w:r>
        <w:t>provisions, but crucially, a</w:t>
      </w:r>
      <w:r w:rsidR="008A45ED">
        <w:t xml:space="preserve"> socially just environment as well. Although both Green and Hobhouse factor the importance of fair social arrangements, the demand for ‘equality’ is more vocally made by Hobhouse: ‘a liberty without equality’ he claims, ‘is a name of noble sound and squalid result’</w:t>
      </w:r>
      <w:r>
        <w:t xml:space="preserve"> (</w:t>
      </w:r>
      <w:r w:rsidRPr="00766F03">
        <w:rPr>
          <w:i/>
        </w:rPr>
        <w:t>L</w:t>
      </w:r>
      <w:r>
        <w:t>, p. 48)</w:t>
      </w:r>
      <w:r w:rsidR="008A45ED">
        <w:t>.  But both thinkers make the same argument about the link between liberty and social justice: social inequality leads to exploitation and thus to drastic deprivation of liberty. Both believe that ‘freedom of contract’ and generally, ideas of liberty that ignore social justice, ‘allow the stronger party to coerce the weaker’</w:t>
      </w:r>
      <w:r>
        <w:t xml:space="preserve"> (</w:t>
      </w:r>
      <w:r w:rsidRPr="00766F03">
        <w:rPr>
          <w:i/>
        </w:rPr>
        <w:t>L</w:t>
      </w:r>
      <w:r>
        <w:t>, p. 75)</w:t>
      </w:r>
      <w:r w:rsidR="008A45ED">
        <w:t>.</w:t>
      </w:r>
    </w:p>
    <w:p w:rsidR="004675AD" w:rsidRDefault="004675AD" w:rsidP="004675AD">
      <w:pPr>
        <w:rPr>
          <w:b/>
          <w:bCs/>
        </w:rPr>
      </w:pPr>
    </w:p>
    <w:p w:rsidR="00766F03" w:rsidRDefault="00930D0A" w:rsidP="004675AD">
      <w:pPr>
        <w:rPr>
          <w:bCs/>
        </w:rPr>
      </w:pPr>
      <w:r>
        <w:rPr>
          <w:bCs/>
        </w:rPr>
        <w:t>One would expect, and it is the case that this alignment between liberty and social justice places certain strains and limitations on the concept of liberty: limitation</w:t>
      </w:r>
      <w:r w:rsidR="00632177">
        <w:rPr>
          <w:bCs/>
        </w:rPr>
        <w:t>s</w:t>
      </w:r>
      <w:r>
        <w:rPr>
          <w:bCs/>
        </w:rPr>
        <w:t xml:space="preserve"> simil</w:t>
      </w:r>
      <w:r w:rsidR="00632177">
        <w:rPr>
          <w:bCs/>
        </w:rPr>
        <w:t>ar to these faced</w:t>
      </w:r>
      <w:r>
        <w:rPr>
          <w:bCs/>
        </w:rPr>
        <w:t xml:space="preserve"> by the republican freedom concept</w:t>
      </w:r>
      <w:r w:rsidR="00632177">
        <w:rPr>
          <w:bCs/>
        </w:rPr>
        <w:t xml:space="preserve">. The republicans have pronounced the negative concept of liberty as </w:t>
      </w:r>
      <w:r w:rsidR="00BB2D43">
        <w:rPr>
          <w:bCs/>
        </w:rPr>
        <w:t>invalid,</w:t>
      </w:r>
      <w:r w:rsidR="00632177">
        <w:rPr>
          <w:bCs/>
        </w:rPr>
        <w:t xml:space="preserve"> as a result of which they cannot say that</w:t>
      </w:r>
      <w:r w:rsidR="00672E62">
        <w:rPr>
          <w:bCs/>
        </w:rPr>
        <w:t xml:space="preserve"> the policies against domination limit the freedom of the dominators. The tension between the ‘old liberal’ freedom of the mid nineteenth century and the ‘new liberal’ freedom the late nineteenth and early twentieth century is similar. The new liberals like Hobhouse cannot describe one’s loss of ability to do as they choose as a liberty loss.</w:t>
      </w:r>
      <w:r w:rsidR="00BB2D43">
        <w:rPr>
          <w:bCs/>
        </w:rPr>
        <w:t xml:space="preserve"> Some basic, and arguably fundamental, aspects of liberty have become redundant.</w:t>
      </w:r>
    </w:p>
    <w:p w:rsidR="00672E62" w:rsidRDefault="00672E62" w:rsidP="004675AD">
      <w:pPr>
        <w:rPr>
          <w:bCs/>
        </w:rPr>
      </w:pPr>
    </w:p>
    <w:p w:rsidR="00241CDE" w:rsidRPr="00BB2D43" w:rsidRDefault="00672E62" w:rsidP="009C6E63">
      <w:pPr>
        <w:rPr>
          <w:bCs/>
        </w:rPr>
      </w:pPr>
      <w:r>
        <w:rPr>
          <w:bCs/>
        </w:rPr>
        <w:t xml:space="preserve">But Hobhouse’s theorisation of liberty maintains some continuity with the old liberal understanding of liberty as exemption from compulsion. </w:t>
      </w:r>
      <w:r w:rsidR="00BB2D43">
        <w:rPr>
          <w:bCs/>
        </w:rPr>
        <w:t xml:space="preserve">The parting between the </w:t>
      </w:r>
      <w:r w:rsidR="00BB2D43" w:rsidRPr="0073701D">
        <w:rPr>
          <w:bCs/>
          <w:i/>
        </w:rPr>
        <w:t>laissez faire</w:t>
      </w:r>
      <w:r w:rsidR="00BB2D43">
        <w:rPr>
          <w:bCs/>
        </w:rPr>
        <w:t xml:space="preserve"> liberty and Hobhouse’s liberty as </w:t>
      </w:r>
      <w:r w:rsidR="006D1F4A">
        <w:rPr>
          <w:bCs/>
        </w:rPr>
        <w:t>personal growth available to all</w:t>
      </w:r>
      <w:r w:rsidR="00BB2D43">
        <w:rPr>
          <w:bCs/>
        </w:rPr>
        <w:t xml:space="preserve"> is not as fundamental as that between negative and republican liberty in the case of sanctioning dominators. </w:t>
      </w:r>
      <w:r w:rsidR="000D4B18">
        <w:rPr>
          <w:bCs/>
        </w:rPr>
        <w:t>Old and new liberals share some premises, one of which is the voluntary nature of the action defined as free. The achievement of personal growth, i.e., Hobhouse’s liberty, is only possible in the context of voluntarily chosen action. The ‘old liberal’ freedom remains a premise of the ‘new liberal’ one.</w:t>
      </w:r>
      <w:r w:rsidR="00BB2D43">
        <w:rPr>
          <w:bCs/>
        </w:rPr>
        <w:t xml:space="preserve"> </w:t>
      </w:r>
      <w:r w:rsidR="00241CDE">
        <w:t xml:space="preserve">Although voluntariness is not enough for the achievement of </w:t>
      </w:r>
      <w:r w:rsidR="006D1F4A">
        <w:t>personal growth available to all</w:t>
      </w:r>
      <w:r w:rsidR="00241CDE">
        <w:t xml:space="preserve">, it is an indispensable premise. </w:t>
      </w:r>
      <w:r w:rsidR="00721F42">
        <w:t xml:space="preserve">Hobhouse’s complex understanding </w:t>
      </w:r>
      <w:r w:rsidR="00BF540F">
        <w:t>of agency has resulted in a</w:t>
      </w:r>
      <w:r w:rsidR="00721F42">
        <w:t xml:space="preserve"> complex notion of freedom</w:t>
      </w:r>
      <w:r w:rsidR="00AB01F0">
        <w:t xml:space="preserve"> as </w:t>
      </w:r>
      <w:r w:rsidR="006D1F4A">
        <w:t>personal growth available to all</w:t>
      </w:r>
      <w:r w:rsidR="00721F42">
        <w:t xml:space="preserve"> as well as in a more demanding set of conditions for t</w:t>
      </w:r>
      <w:r w:rsidR="00AB01F0">
        <w:t>h</w:t>
      </w:r>
      <w:r w:rsidR="00721F42">
        <w:t xml:space="preserve">e materialisation of liberty. However the fact that the concept of liberty is anchored in a concept of agency has resulted in a </w:t>
      </w:r>
      <w:r w:rsidR="00721F42">
        <w:lastRenderedPageBreak/>
        <w:t xml:space="preserve">more consistent commitment to the link between freedom and voluntariness, and in this sense, wellbeing. </w:t>
      </w:r>
    </w:p>
    <w:p w:rsidR="00C56A20" w:rsidRDefault="00C56A20" w:rsidP="009C6E63"/>
    <w:p w:rsidR="0072087B" w:rsidRDefault="0073701D" w:rsidP="009C6E63">
      <w:r>
        <w:t xml:space="preserve">The concept of liberty as </w:t>
      </w:r>
      <w:r w:rsidR="006D1F4A">
        <w:t>personal growth available to all</w:t>
      </w:r>
      <w:r w:rsidR="00621EB2">
        <w:t xml:space="preserve"> also</w:t>
      </w:r>
      <w:r>
        <w:t xml:space="preserve"> offers a model of rethinking one’s </w:t>
      </w:r>
      <w:r w:rsidR="00621EB2">
        <w:t>wellbeing and the sp</w:t>
      </w:r>
      <w:r>
        <w:t>ecific conditions of liberty one</w:t>
      </w:r>
      <w:r w:rsidR="00621EB2">
        <w:t xml:space="preserve"> need</w:t>
      </w:r>
      <w:r>
        <w:t>s</w:t>
      </w:r>
      <w:r w:rsidR="00621EB2">
        <w:t xml:space="preserve">. </w:t>
      </w:r>
      <w:r w:rsidR="0037347D">
        <w:t>What counts as sufficient condition for personal growth</w:t>
      </w:r>
      <w:r w:rsidR="0009494E">
        <w:t>? When</w:t>
      </w:r>
      <w:r w:rsidR="00621EB2">
        <w:t xml:space="preserve"> does one have enough resources that provide him with resilience against domination? </w:t>
      </w:r>
      <w:r w:rsidR="001B1773">
        <w:t>The boundaries between those who need more help and those who have enough and would be expected to pr</w:t>
      </w:r>
      <w:r w:rsidR="00E0607E">
        <w:t>ovide help for</w:t>
      </w:r>
      <w:r w:rsidR="001B1773">
        <w:t xml:space="preserve"> others are not clear ones, but are nonetheless very significant</w:t>
      </w:r>
      <w:r w:rsidR="00E0607E">
        <w:t>. One’s freedom depends both on his/her situation with respect to this boundary</w:t>
      </w:r>
      <w:r w:rsidR="00E0607E" w:rsidRPr="00E0607E">
        <w:t xml:space="preserve"> </w:t>
      </w:r>
      <w:r w:rsidR="00E0607E">
        <w:t xml:space="preserve">and on one’s adequate judgement about this situation. Because freedom is about personal growth available to all, it implies different entitlements </w:t>
      </w:r>
      <w:r w:rsidR="0072087B">
        <w:t>for the</w:t>
      </w:r>
      <w:r w:rsidR="00E0607E">
        <w:t xml:space="preserve"> conditions for freedom: some will need </w:t>
      </w:r>
      <w:proofErr w:type="gramStart"/>
      <w:r w:rsidR="00E0607E">
        <w:t>more,</w:t>
      </w:r>
      <w:proofErr w:type="gramEnd"/>
      <w:r w:rsidR="00E0607E">
        <w:t xml:space="preserve"> some will have to contribute to their provision. But the correct personal judgement of one’s situation is crucial as well, because one has to undertake </w:t>
      </w:r>
      <w:r w:rsidR="00CF3EBC">
        <w:t>the activities implicit in</w:t>
      </w:r>
      <w:r w:rsidR="00E0607E">
        <w:t xml:space="preserve"> their freedom voluntarily. </w:t>
      </w:r>
      <w:r w:rsidR="0072087B">
        <w:t xml:space="preserve"> </w:t>
      </w:r>
    </w:p>
    <w:p w:rsidR="0072087B" w:rsidRDefault="0072087B" w:rsidP="009C6E63"/>
    <w:p w:rsidR="00621EB2" w:rsidRDefault="0072087B" w:rsidP="009C6E63">
      <w:r>
        <w:t xml:space="preserve">Let me give an example. If freedom as ability for personal growth available to </w:t>
      </w:r>
      <w:proofErr w:type="gramStart"/>
      <w:r>
        <w:t>all,</w:t>
      </w:r>
      <w:proofErr w:type="gramEnd"/>
      <w:r>
        <w:t xml:space="preserve"> were to obtain, one would expect that employer</w:t>
      </w:r>
      <w:r w:rsidR="00CF3EBC">
        <w:t>s</w:t>
      </w:r>
      <w:r>
        <w:t xml:space="preserve"> would invest some of their wealth in providing better working and living conditions for their employees. </w:t>
      </w:r>
      <w:r w:rsidR="00CF3EBC">
        <w:t>But will this compromise the employers’</w:t>
      </w:r>
      <w:r w:rsidR="0009494E">
        <w:t xml:space="preserve"> liberty</w:t>
      </w:r>
      <w:r w:rsidR="00CF3EBC">
        <w:t xml:space="preserve">? Not necessarily, because if liberty is understood as personal growth, the employers’ personal growth can be compatible with reduction of their wealth. </w:t>
      </w:r>
      <w:r w:rsidR="0009494E">
        <w:t xml:space="preserve">A concept of liberty as personal growth has a potential to explain liberty in a way that would </w:t>
      </w:r>
      <w:r w:rsidR="00B66618">
        <w:t>make i</w:t>
      </w:r>
      <w:r w:rsidR="0037347D">
        <w:t>t possible for you to say that a</w:t>
      </w:r>
      <w:r w:rsidR="00B66618">
        <w:t xml:space="preserve"> social environment that restricts the exercise of your power is conducive to your freedom. If you voluntarily choose to serve the common good, then</w:t>
      </w:r>
      <w:r w:rsidR="00A028F8">
        <w:t xml:space="preserve"> doing the socially just thing can be part of your freedom. If freedom is about personal growth, we have a say about when exactly we are free. A concept of freedom as personal growth allows adjustment of your demands to the social circumstances you are in. </w:t>
      </w:r>
    </w:p>
    <w:p w:rsidR="00A028F8" w:rsidRDefault="00A028F8" w:rsidP="009C6E63"/>
    <w:p w:rsidR="00A028F8" w:rsidRDefault="00A028F8" w:rsidP="009C6E63">
      <w:r>
        <w:t xml:space="preserve">To link this to the context of republican freedom: when you are </w:t>
      </w:r>
      <w:r w:rsidR="0037347D">
        <w:t>the target of</w:t>
      </w:r>
      <w:r>
        <w:t xml:space="preserve"> the republican policies that </w:t>
      </w:r>
      <w:r w:rsidR="0037347D">
        <w:t>aim to curb</w:t>
      </w:r>
      <w:r>
        <w:t xml:space="preserve"> domination, you are still free not because you are not subject</w:t>
      </w:r>
      <w:r w:rsidR="0037347D">
        <w:t>ed</w:t>
      </w:r>
      <w:r>
        <w:t xml:space="preserve"> to arbitrary interference, </w:t>
      </w:r>
      <w:r w:rsidR="009614EF">
        <w:t xml:space="preserve">as republicans will argue, </w:t>
      </w:r>
      <w:bookmarkStart w:id="0" w:name="_GoBack"/>
      <w:bookmarkEnd w:id="0"/>
      <w:r>
        <w:t>but because it is possible for you to voluntarily embrace these policies. My personal growth</w:t>
      </w:r>
      <w:r w:rsidR="005909D7">
        <w:t xml:space="preserve">, </w:t>
      </w:r>
      <w:r w:rsidR="0010557C">
        <w:t>therefore my freedom,</w:t>
      </w:r>
      <w:r>
        <w:t xml:space="preserve"> is compatible with policies that curb my power</w:t>
      </w:r>
      <w:r w:rsidR="0010557C">
        <w:t>.</w:t>
      </w:r>
    </w:p>
    <w:p w:rsidR="0010557C" w:rsidRDefault="0010557C" w:rsidP="009C6E63"/>
    <w:p w:rsidR="0010557C" w:rsidRPr="0037347D" w:rsidRDefault="00BB2D43" w:rsidP="0037347D">
      <w:pPr>
        <w:ind w:firstLine="720"/>
        <w:rPr>
          <w:b/>
        </w:rPr>
      </w:pPr>
      <w:r w:rsidRPr="0037347D">
        <w:rPr>
          <w:b/>
        </w:rPr>
        <w:t>Conclusion</w:t>
      </w:r>
    </w:p>
    <w:p w:rsidR="00BB2D43" w:rsidRDefault="00BB2D43" w:rsidP="009C6E63"/>
    <w:p w:rsidR="0037347D" w:rsidRDefault="0037347D" w:rsidP="00BB2D43">
      <w:r>
        <w:t>Both Hobhouse and Pettit develop a theory of liberty that inter</w:t>
      </w:r>
      <w:r w:rsidR="00044E47">
        <w:t>n</w:t>
      </w:r>
      <w:r>
        <w:t>alises</w:t>
      </w:r>
      <w:r w:rsidR="00044E47">
        <w:t xml:space="preserve"> the value of social justice. The ‘new liberal’ as well as the republican freedom projects depart from the primary understanding of liberty as lack of external interference, as the latter is either oblivious or detrimental to social justice. This departure is costly because it increases the scope of prohibited action</w:t>
      </w:r>
      <w:r w:rsidR="00833D8A">
        <w:t>s</w:t>
      </w:r>
      <w:r w:rsidR="00044E47">
        <w:t xml:space="preserve"> –</w:t>
      </w:r>
      <w:r w:rsidR="00833D8A">
        <w:t xml:space="preserve"> </w:t>
      </w:r>
      <w:r w:rsidR="00044E47">
        <w:t xml:space="preserve">allegedly </w:t>
      </w:r>
      <w:r w:rsidR="00833D8A">
        <w:t xml:space="preserve">those that </w:t>
      </w:r>
      <w:r w:rsidR="00044E47">
        <w:t>do not align with social justice</w:t>
      </w:r>
      <w:r w:rsidR="00833D8A">
        <w:t>. If your interests are not ‘avowal-ready’ you are not free to pursue them</w:t>
      </w:r>
      <w:r w:rsidR="005909D7">
        <w:t>, republicans would say</w:t>
      </w:r>
      <w:r w:rsidR="00833D8A">
        <w:t xml:space="preserve">. </w:t>
      </w:r>
      <w:r w:rsidR="00044E47">
        <w:t xml:space="preserve"> </w:t>
      </w:r>
      <w:r w:rsidR="00833D8A">
        <w:t xml:space="preserve">The departure from the primary meaning of freedom could lead to freedom casualties, as Isaiah Berlin would be more than eager to argue. </w:t>
      </w:r>
      <w:r w:rsidR="00044E47">
        <w:t>But Hobhouse’s concept of liberty does not reach the same high degree of separation with the primary concept as Pettit’s republican freedom reaches in the case of assessing the liberty of dominators.</w:t>
      </w:r>
    </w:p>
    <w:p w:rsidR="0037347D" w:rsidRDefault="0037347D" w:rsidP="00BB2D43"/>
    <w:p w:rsidR="00BB2D43" w:rsidRDefault="00BB2D43" w:rsidP="00BB2D43">
      <w:r>
        <w:lastRenderedPageBreak/>
        <w:t>Even if freedom is not merely</w:t>
      </w:r>
      <w:r w:rsidR="005909D7">
        <w:t xml:space="preserve"> an</w:t>
      </w:r>
      <w:r>
        <w:t xml:space="preserve"> absence of constraints, but ability to achieve personal growth</w:t>
      </w:r>
      <w:r w:rsidR="005909D7">
        <w:t xml:space="preserve"> available to all</w:t>
      </w:r>
      <w:r>
        <w:t>, the latter is an agency related value. The evolution of the concept of freedom from the old to the new liberal one does supersede but does not override voluntariness as a foundation of liberty.</w:t>
      </w:r>
    </w:p>
    <w:p w:rsidR="00C4110A" w:rsidRDefault="00C4110A" w:rsidP="00BB2D43"/>
    <w:p w:rsidR="00C4110A" w:rsidRDefault="00C4110A" w:rsidP="00BB2D43">
      <w:pPr>
        <w:sectPr w:rsidR="00C4110A" w:rsidSect="00616DA0">
          <w:footerReference w:type="default" r:id="rId9"/>
          <w:endnotePr>
            <w:numFmt w:val="decimal"/>
          </w:endnotePr>
          <w:pgSz w:w="11906" w:h="16838"/>
          <w:pgMar w:top="1440" w:right="1800" w:bottom="1440" w:left="1800" w:header="708" w:footer="708" w:gutter="0"/>
          <w:cols w:space="708"/>
          <w:docGrid w:linePitch="360"/>
        </w:sectPr>
      </w:pPr>
    </w:p>
    <w:p w:rsidR="00C4110A" w:rsidRDefault="00C4110A" w:rsidP="00BB2D43"/>
    <w:p w:rsidR="0013240E" w:rsidRDefault="0013240E"/>
    <w:p w:rsidR="00C4110A" w:rsidRPr="00C4110A" w:rsidRDefault="00C4110A" w:rsidP="00C4110A">
      <w:pPr>
        <w:spacing w:line="480" w:lineRule="auto"/>
        <w:rPr>
          <w:b/>
        </w:rPr>
      </w:pPr>
      <w:r>
        <w:rPr>
          <w:b/>
        </w:rPr>
        <w:t>Bibliography</w:t>
      </w:r>
    </w:p>
    <w:p w:rsidR="00C4110A" w:rsidRDefault="00C4110A" w:rsidP="00C4110A">
      <w:pPr>
        <w:spacing w:line="480" w:lineRule="auto"/>
        <w:ind w:firstLine="720"/>
      </w:pPr>
      <w:proofErr w:type="gramStart"/>
      <w:r>
        <w:t xml:space="preserve">Boucher, D. and Vincent, A. (2000) </w:t>
      </w:r>
      <w:r>
        <w:rPr>
          <w:i/>
        </w:rPr>
        <w:t>British Idealism and Political T</w:t>
      </w:r>
      <w:r w:rsidRPr="00D81F7F">
        <w:rPr>
          <w:i/>
        </w:rPr>
        <w:t>heory</w:t>
      </w:r>
      <w:r>
        <w:t>.</w:t>
      </w:r>
      <w:proofErr w:type="gramEnd"/>
      <w:r>
        <w:t xml:space="preserve"> Edinburgh: Edinburgh University Press.</w:t>
      </w:r>
    </w:p>
    <w:p w:rsidR="00C4110A" w:rsidRDefault="00C4110A" w:rsidP="00C4110A">
      <w:pPr>
        <w:spacing w:line="480" w:lineRule="auto"/>
        <w:ind w:firstLine="720"/>
      </w:pPr>
      <w:r>
        <w:t>Brown, V. (2001) ‘</w:t>
      </w:r>
      <w:r w:rsidRPr="007B128E">
        <w:t>Self-Government: The Mast</w:t>
      </w:r>
      <w:r>
        <w:t>er Trope of Republican Liberty’,</w:t>
      </w:r>
      <w:r w:rsidRPr="007B128E">
        <w:t xml:space="preserve"> </w:t>
      </w:r>
      <w:r w:rsidRPr="007B128E">
        <w:rPr>
          <w:i/>
        </w:rPr>
        <w:t>Monist</w:t>
      </w:r>
      <w:r>
        <w:t>, 84 (1), 60-76.</w:t>
      </w:r>
    </w:p>
    <w:p w:rsidR="00C4110A" w:rsidRDefault="00C4110A" w:rsidP="00C4110A">
      <w:pPr>
        <w:spacing w:line="480" w:lineRule="auto"/>
        <w:ind w:firstLine="720"/>
      </w:pPr>
      <w:r w:rsidRPr="007B128E">
        <w:t xml:space="preserve">Carter, </w:t>
      </w:r>
      <w:r>
        <w:t>I. (2008) ‘</w:t>
      </w:r>
      <w:r w:rsidRPr="007B128E">
        <w:t>How a</w:t>
      </w:r>
      <w:r>
        <w:t xml:space="preserve">re Power and </w:t>
      </w:r>
      <w:proofErr w:type="spellStart"/>
      <w:r>
        <w:t>Unfreedom</w:t>
      </w:r>
      <w:proofErr w:type="spellEnd"/>
      <w:r>
        <w:t xml:space="preserve"> Related?’</w:t>
      </w:r>
      <w:r w:rsidRPr="007B128E">
        <w:t xml:space="preserve"> in, </w:t>
      </w:r>
      <w:r>
        <w:t>C. Laborde and J.</w:t>
      </w:r>
      <w:r w:rsidRPr="007B128E">
        <w:t xml:space="preserve"> </w:t>
      </w:r>
      <w:proofErr w:type="spellStart"/>
      <w:r w:rsidRPr="007B128E">
        <w:t>Maynor</w:t>
      </w:r>
      <w:proofErr w:type="spellEnd"/>
      <w:r>
        <w:t xml:space="preserve"> (</w:t>
      </w:r>
      <w:proofErr w:type="gramStart"/>
      <w:r>
        <w:t>eds</w:t>
      </w:r>
      <w:proofErr w:type="gramEnd"/>
      <w:r>
        <w:t>),</w:t>
      </w:r>
      <w:r w:rsidRPr="007B128E">
        <w:rPr>
          <w:i/>
        </w:rPr>
        <w:t xml:space="preserve"> Republicanism and Political Theory</w:t>
      </w:r>
      <w:r>
        <w:rPr>
          <w:i/>
        </w:rPr>
        <w:t>.</w:t>
      </w:r>
      <w:r>
        <w:t xml:space="preserve"> London: Blackwell, pp. </w:t>
      </w:r>
      <w:r w:rsidRPr="007B128E">
        <w:t>58-82</w:t>
      </w:r>
      <w:r>
        <w:t>.</w:t>
      </w:r>
    </w:p>
    <w:p w:rsidR="00C4110A" w:rsidRDefault="00C4110A" w:rsidP="00C4110A">
      <w:pPr>
        <w:spacing w:line="480" w:lineRule="auto"/>
        <w:ind w:firstLine="720"/>
        <w:rPr>
          <w:spacing w:val="-3"/>
        </w:rPr>
      </w:pPr>
      <w:r w:rsidRPr="007B128E">
        <w:rPr>
          <w:spacing w:val="-3"/>
        </w:rPr>
        <w:t xml:space="preserve">Christman, </w:t>
      </w:r>
      <w:r>
        <w:rPr>
          <w:spacing w:val="-3"/>
        </w:rPr>
        <w:t>J. (1998) ‘Philip Pettit,</w:t>
      </w:r>
      <w:r w:rsidRPr="007B128E">
        <w:rPr>
          <w:spacing w:val="-3"/>
        </w:rPr>
        <w:t xml:space="preserve"> Republicanism</w:t>
      </w:r>
      <w:r>
        <w:rPr>
          <w:spacing w:val="-3"/>
        </w:rPr>
        <w:t>: A Theory of Freedom and Government’</w:t>
      </w:r>
      <w:proofErr w:type="gramStart"/>
      <w:r w:rsidRPr="007B128E">
        <w:rPr>
          <w:spacing w:val="-3"/>
        </w:rPr>
        <w:t xml:space="preserve">, </w:t>
      </w:r>
      <w:r>
        <w:rPr>
          <w:spacing w:val="-3"/>
        </w:rPr>
        <w:t xml:space="preserve"> </w:t>
      </w:r>
      <w:r w:rsidRPr="007B128E">
        <w:rPr>
          <w:i/>
          <w:spacing w:val="-3"/>
        </w:rPr>
        <w:t>Ethics</w:t>
      </w:r>
      <w:proofErr w:type="gramEnd"/>
      <w:r>
        <w:rPr>
          <w:spacing w:val="-3"/>
        </w:rPr>
        <w:t>, 109 (1),</w:t>
      </w:r>
      <w:r w:rsidRPr="007B128E">
        <w:rPr>
          <w:spacing w:val="-3"/>
        </w:rPr>
        <w:t xml:space="preserve"> 202-206</w:t>
      </w:r>
      <w:r>
        <w:rPr>
          <w:spacing w:val="-3"/>
        </w:rPr>
        <w:t>.</w:t>
      </w:r>
    </w:p>
    <w:p w:rsidR="00C4110A" w:rsidRDefault="00C4110A" w:rsidP="00C4110A">
      <w:pPr>
        <w:spacing w:line="480" w:lineRule="auto"/>
        <w:ind w:firstLine="720"/>
      </w:pPr>
      <w:r w:rsidRPr="007B128E">
        <w:t xml:space="preserve">Christman, </w:t>
      </w:r>
      <w:r>
        <w:t>J. (2005) ‘Saving Positive Freedom’,</w:t>
      </w:r>
      <w:r w:rsidRPr="007B128E">
        <w:t xml:space="preserve"> </w:t>
      </w:r>
      <w:r w:rsidRPr="007B128E">
        <w:rPr>
          <w:i/>
        </w:rPr>
        <w:t>Political Theory</w:t>
      </w:r>
      <w:r>
        <w:t>, 33 (1),</w:t>
      </w:r>
      <w:r w:rsidRPr="007B128E">
        <w:t xml:space="preserve"> 79-88</w:t>
      </w:r>
      <w:r>
        <w:t>.</w:t>
      </w:r>
    </w:p>
    <w:p w:rsidR="00C4110A" w:rsidRDefault="00C4110A" w:rsidP="00C4110A">
      <w:pPr>
        <w:spacing w:line="480" w:lineRule="auto"/>
        <w:ind w:firstLine="720"/>
      </w:pPr>
      <w:proofErr w:type="gramStart"/>
      <w:r>
        <w:t>den</w:t>
      </w:r>
      <w:proofErr w:type="gramEnd"/>
      <w:r>
        <w:t xml:space="preserve"> Otter, S. (1996)  </w:t>
      </w:r>
      <w:r w:rsidRPr="00A95B7F">
        <w:rPr>
          <w:i/>
          <w:iCs/>
        </w:rPr>
        <w:t>British Idealism and Social Explanation: A Study of Late Victorian Thought</w:t>
      </w:r>
      <w:r>
        <w:t>. Oxford: Oxford University Press.</w:t>
      </w:r>
    </w:p>
    <w:p w:rsidR="00C4110A" w:rsidRDefault="00C4110A" w:rsidP="00C4110A">
      <w:pPr>
        <w:spacing w:line="480" w:lineRule="auto"/>
        <w:ind w:firstLine="720"/>
      </w:pPr>
      <w:r w:rsidRPr="007B128E">
        <w:t>Dimova-Cookson</w:t>
      </w:r>
      <w:r>
        <w:t>, M. (2003) ‘</w:t>
      </w:r>
      <w:r w:rsidRPr="007B128E">
        <w:t>A new Scheme of Positive and Negative Freedom: reconstructing T.H.G</w:t>
      </w:r>
      <w:r>
        <w:t>reen on Freedom’,</w:t>
      </w:r>
      <w:r w:rsidRPr="007B128E">
        <w:t xml:space="preserve"> </w:t>
      </w:r>
      <w:r w:rsidRPr="007B128E">
        <w:rPr>
          <w:i/>
        </w:rPr>
        <w:t>Political Theory</w:t>
      </w:r>
      <w:r>
        <w:t xml:space="preserve"> 31 (4),</w:t>
      </w:r>
      <w:r w:rsidRPr="007B128E">
        <w:t xml:space="preserve"> 508-32</w:t>
      </w:r>
      <w:r>
        <w:t>.</w:t>
      </w:r>
    </w:p>
    <w:p w:rsidR="00C4110A" w:rsidRDefault="00C4110A" w:rsidP="00C4110A">
      <w:pPr>
        <w:spacing w:line="480" w:lineRule="auto"/>
        <w:ind w:firstLine="720"/>
      </w:pPr>
      <w:r>
        <w:t xml:space="preserve">Dimova-Cookson, M. (2004) ‘Conceptual Clarity, Freedom and Normative Ideas: Reply to Blau’, </w:t>
      </w:r>
      <w:r w:rsidRPr="007C00D5">
        <w:rPr>
          <w:i/>
        </w:rPr>
        <w:t>Political Theory</w:t>
      </w:r>
      <w:r>
        <w:t xml:space="preserve"> 32 (4), 544-62.</w:t>
      </w:r>
    </w:p>
    <w:p w:rsidR="00C4110A" w:rsidRDefault="00C4110A" w:rsidP="00C4110A">
      <w:pPr>
        <w:spacing w:line="480" w:lineRule="auto"/>
        <w:ind w:firstLine="720"/>
      </w:pPr>
      <w:proofErr w:type="spellStart"/>
      <w:proofErr w:type="gramStart"/>
      <w:r w:rsidRPr="007B128E">
        <w:t>Ferejohn</w:t>
      </w:r>
      <w:proofErr w:type="spellEnd"/>
      <w:r>
        <w:t>, J. (2001)</w:t>
      </w:r>
      <w:r w:rsidRPr="007B128E">
        <w:t xml:space="preserve"> </w:t>
      </w:r>
      <w:r>
        <w:t>‘Pettit’s republic’,</w:t>
      </w:r>
      <w:r w:rsidRPr="007B128E">
        <w:t xml:space="preserve"> </w:t>
      </w:r>
      <w:r w:rsidRPr="007B128E">
        <w:rPr>
          <w:i/>
        </w:rPr>
        <w:t>Monist</w:t>
      </w:r>
      <w:r>
        <w:t>, 84 (1),</w:t>
      </w:r>
      <w:r w:rsidRPr="007B128E">
        <w:t xml:space="preserve"> 77-97</w:t>
      </w:r>
      <w:r>
        <w:t>.</w:t>
      </w:r>
      <w:proofErr w:type="gramEnd"/>
    </w:p>
    <w:p w:rsidR="00C4110A" w:rsidRPr="007F2912" w:rsidRDefault="00C4110A" w:rsidP="00C4110A">
      <w:pPr>
        <w:spacing w:line="480" w:lineRule="auto"/>
        <w:ind w:firstLine="720"/>
      </w:pPr>
      <w:r w:rsidRPr="007B128E">
        <w:t>Friedman</w:t>
      </w:r>
      <w:r>
        <w:t>, M. (2008) ‘</w:t>
      </w:r>
      <w:r w:rsidRPr="007B128E">
        <w:t>Pettit’s Civic Re</w:t>
      </w:r>
      <w:r>
        <w:t>publicanism and Male Domination’</w:t>
      </w:r>
      <w:r w:rsidRPr="007B128E">
        <w:t xml:space="preserve"> in </w:t>
      </w:r>
      <w:r>
        <w:t>C.</w:t>
      </w:r>
      <w:r w:rsidRPr="00E5447C">
        <w:t xml:space="preserve"> </w:t>
      </w:r>
      <w:r>
        <w:t>Laborde and J.</w:t>
      </w:r>
      <w:r w:rsidRPr="007B128E">
        <w:t xml:space="preserve"> </w:t>
      </w:r>
      <w:proofErr w:type="spellStart"/>
      <w:r w:rsidRPr="007B128E">
        <w:t>Maynor</w:t>
      </w:r>
      <w:proofErr w:type="spellEnd"/>
      <w:r>
        <w:t xml:space="preserve"> (</w:t>
      </w:r>
      <w:proofErr w:type="gramStart"/>
      <w:r>
        <w:t>eds</w:t>
      </w:r>
      <w:proofErr w:type="gramEnd"/>
      <w:r>
        <w:t>),</w:t>
      </w:r>
      <w:r w:rsidRPr="007B128E">
        <w:rPr>
          <w:i/>
        </w:rPr>
        <w:t xml:space="preserve"> Republicanism and Political Theory</w:t>
      </w:r>
      <w:r>
        <w:rPr>
          <w:i/>
        </w:rPr>
        <w:t>.</w:t>
      </w:r>
      <w:r>
        <w:t xml:space="preserve"> London: Blackwell, pp.</w:t>
      </w:r>
      <w:r w:rsidRPr="007B128E">
        <w:t xml:space="preserve"> 246-68</w:t>
      </w:r>
      <w:r>
        <w:t>.</w:t>
      </w:r>
    </w:p>
    <w:p w:rsidR="00C4110A" w:rsidRDefault="00C4110A" w:rsidP="00C4110A">
      <w:pPr>
        <w:spacing w:line="480" w:lineRule="auto"/>
        <w:ind w:firstLine="720"/>
      </w:pPr>
      <w:r w:rsidRPr="007B128E">
        <w:t>Green</w:t>
      </w:r>
      <w:r>
        <w:t>, T.H. (1986a, first published in 1881) ‘</w:t>
      </w:r>
      <w:r w:rsidRPr="007B128E">
        <w:t>Lecture on Liberal Legi</w:t>
      </w:r>
      <w:r>
        <w:t>slation and Freedom of Contract’</w:t>
      </w:r>
      <w:r w:rsidRPr="007B128E">
        <w:t xml:space="preserve"> in </w:t>
      </w:r>
      <w:r>
        <w:t>P. Harris and J.</w:t>
      </w:r>
      <w:r w:rsidRPr="007B128E">
        <w:t xml:space="preserve"> Morrow</w:t>
      </w:r>
      <w:r>
        <w:t xml:space="preserve"> (</w:t>
      </w:r>
      <w:proofErr w:type="gramStart"/>
      <w:r>
        <w:t>eds</w:t>
      </w:r>
      <w:proofErr w:type="gramEnd"/>
      <w:r>
        <w:t xml:space="preserve">), </w:t>
      </w:r>
      <w:r w:rsidRPr="007B128E">
        <w:rPr>
          <w:i/>
        </w:rPr>
        <w:t xml:space="preserve">Lectures on the Principles </w:t>
      </w:r>
      <w:r w:rsidRPr="007B128E">
        <w:rPr>
          <w:i/>
        </w:rPr>
        <w:lastRenderedPageBreak/>
        <w:t>of Political Obligation and Other Writings</w:t>
      </w:r>
      <w:r>
        <w:rPr>
          <w:i/>
        </w:rPr>
        <w:t xml:space="preserve">. </w:t>
      </w:r>
      <w:r w:rsidRPr="007B128E">
        <w:t>Cambridge: Ca</w:t>
      </w:r>
      <w:r>
        <w:t>mbridge University Press, pp.</w:t>
      </w:r>
      <w:r w:rsidRPr="007B128E">
        <w:t xml:space="preserve"> 194-212</w:t>
      </w:r>
      <w:r>
        <w:t>.</w:t>
      </w:r>
    </w:p>
    <w:p w:rsidR="00C4110A" w:rsidRDefault="00C4110A" w:rsidP="00C4110A">
      <w:pPr>
        <w:spacing w:line="480" w:lineRule="auto"/>
        <w:ind w:firstLine="720"/>
      </w:pPr>
      <w:r w:rsidRPr="007B128E">
        <w:t xml:space="preserve">Green, </w:t>
      </w:r>
      <w:r>
        <w:t>T.H. (1986b, first published in 1886) ‘</w:t>
      </w:r>
      <w:r w:rsidRPr="007B128E">
        <w:t>On the Different Senses of Freedom as applied to the Wil</w:t>
      </w:r>
      <w:r>
        <w:t>l and the Moral Progress of Man’</w:t>
      </w:r>
      <w:r w:rsidRPr="007B128E">
        <w:t xml:space="preserve"> in </w:t>
      </w:r>
      <w:r>
        <w:t>P. Harris and J.</w:t>
      </w:r>
      <w:r w:rsidRPr="007B128E">
        <w:t xml:space="preserve"> Morrow</w:t>
      </w:r>
      <w:r>
        <w:t xml:space="preserve"> (</w:t>
      </w:r>
      <w:proofErr w:type="gramStart"/>
      <w:r>
        <w:t>eds</w:t>
      </w:r>
      <w:proofErr w:type="gramEnd"/>
      <w:r>
        <w:t xml:space="preserve">), </w:t>
      </w:r>
      <w:r w:rsidRPr="007B128E">
        <w:rPr>
          <w:i/>
        </w:rPr>
        <w:t xml:space="preserve">Lectures on the Principles of Political Obligation and Other </w:t>
      </w:r>
      <w:proofErr w:type="spellStart"/>
      <w:r w:rsidRPr="007B128E">
        <w:rPr>
          <w:i/>
        </w:rPr>
        <w:t>Writings</w:t>
      </w:r>
      <w:r>
        <w:rPr>
          <w:i/>
        </w:rPr>
        <w:t>.</w:t>
      </w:r>
      <w:r>
        <w:t>Cambridge</w:t>
      </w:r>
      <w:proofErr w:type="spellEnd"/>
      <w:r>
        <w:t>:</w:t>
      </w:r>
      <w:r w:rsidRPr="007B128E">
        <w:t xml:space="preserve"> Ca</w:t>
      </w:r>
      <w:r>
        <w:t>mbridge University Press, pp.</w:t>
      </w:r>
      <w:r w:rsidRPr="007B128E">
        <w:t xml:space="preserve"> 228-49</w:t>
      </w:r>
      <w:r>
        <w:t>.</w:t>
      </w:r>
    </w:p>
    <w:p w:rsidR="00C4110A" w:rsidRDefault="00C4110A" w:rsidP="00C4110A">
      <w:pPr>
        <w:spacing w:before="240" w:line="480" w:lineRule="auto"/>
        <w:ind w:firstLine="720"/>
      </w:pPr>
      <w:r>
        <w:t>Hobhouse, L.T. (1964</w:t>
      </w:r>
      <w:r w:rsidRPr="00172561">
        <w:t xml:space="preserve"> </w:t>
      </w:r>
      <w:r>
        <w:t xml:space="preserve">first published in 1911) </w:t>
      </w:r>
      <w:r w:rsidRPr="005A3E0A">
        <w:rPr>
          <w:i/>
          <w:iCs/>
        </w:rPr>
        <w:t>Liberalism</w:t>
      </w:r>
      <w:r>
        <w:rPr>
          <w:i/>
          <w:iCs/>
        </w:rPr>
        <w:t xml:space="preserve">. </w:t>
      </w:r>
      <w:r w:rsidRPr="0068098F">
        <w:t>London</w:t>
      </w:r>
      <w:r>
        <w:t>: Oxford University Press.</w:t>
      </w:r>
    </w:p>
    <w:p w:rsidR="00C4110A" w:rsidRDefault="00C4110A" w:rsidP="00C4110A">
      <w:pPr>
        <w:spacing w:line="480" w:lineRule="auto"/>
        <w:ind w:firstLine="720"/>
      </w:pPr>
      <w:r w:rsidRPr="007B128E">
        <w:t xml:space="preserve">Larmore, </w:t>
      </w:r>
      <w:r>
        <w:t>C. (2004) ‘</w:t>
      </w:r>
      <w:r w:rsidRPr="007B128E">
        <w:t>Liberal and Rep</w:t>
      </w:r>
      <w:r>
        <w:t>ublican Conceptions of Freedom’,</w:t>
      </w:r>
      <w:r w:rsidRPr="007B128E">
        <w:t xml:space="preserve"> in D. Weinstock and C. Nadeau </w:t>
      </w:r>
      <w:r>
        <w:t>(</w:t>
      </w:r>
      <w:proofErr w:type="gramStart"/>
      <w:r>
        <w:t>eds</w:t>
      </w:r>
      <w:proofErr w:type="gramEnd"/>
      <w:r>
        <w:t xml:space="preserve">), </w:t>
      </w:r>
      <w:r w:rsidRPr="007B128E">
        <w:rPr>
          <w:i/>
        </w:rPr>
        <w:t>Republicanism: History, Theory and Practice</w:t>
      </w:r>
      <w:r>
        <w:t>. London: Frank Cass, pp.</w:t>
      </w:r>
      <w:r w:rsidRPr="007B128E">
        <w:t xml:space="preserve"> 96-119</w:t>
      </w:r>
      <w:r>
        <w:t>.</w:t>
      </w:r>
    </w:p>
    <w:p w:rsidR="00C4110A" w:rsidRDefault="00C4110A" w:rsidP="00C4110A">
      <w:pPr>
        <w:spacing w:line="480" w:lineRule="auto"/>
        <w:ind w:firstLine="720"/>
      </w:pPr>
      <w:r w:rsidRPr="007B128E">
        <w:t>McMahon,</w:t>
      </w:r>
      <w:r>
        <w:t xml:space="preserve"> C. (2005) ‘</w:t>
      </w:r>
      <w:r w:rsidRPr="007B128E">
        <w:t>The Inde</w:t>
      </w:r>
      <w:r>
        <w:t>terminacy of Republican Policy’,</w:t>
      </w:r>
      <w:r w:rsidRPr="007B128E">
        <w:t xml:space="preserve"> </w:t>
      </w:r>
      <w:r w:rsidRPr="007B128E">
        <w:rPr>
          <w:i/>
        </w:rPr>
        <w:t>Philosophy &amp; Public Affairs</w:t>
      </w:r>
      <w:r>
        <w:t xml:space="preserve"> 33</w:t>
      </w:r>
      <w:r w:rsidRPr="007B128E">
        <w:t xml:space="preserve"> </w:t>
      </w:r>
      <w:r>
        <w:t>(</w:t>
      </w:r>
      <w:r w:rsidRPr="007B128E">
        <w:t>1</w:t>
      </w:r>
      <w:r>
        <w:t>),</w:t>
      </w:r>
      <w:r w:rsidRPr="007B128E">
        <w:t xml:space="preserve"> 67-93</w:t>
      </w:r>
      <w:r>
        <w:t>.</w:t>
      </w:r>
    </w:p>
    <w:p w:rsidR="00C4110A" w:rsidRDefault="00C4110A" w:rsidP="00C4110A">
      <w:pPr>
        <w:spacing w:line="480" w:lineRule="auto"/>
        <w:ind w:firstLine="720"/>
      </w:pPr>
      <w:proofErr w:type="gramStart"/>
      <w:r w:rsidRPr="007B128E">
        <w:t>McMahon,</w:t>
      </w:r>
      <w:r>
        <w:t xml:space="preserve"> C. (2007) ‘</w:t>
      </w:r>
      <w:proofErr w:type="spellStart"/>
      <w:r>
        <w:t>Nondomination</w:t>
      </w:r>
      <w:proofErr w:type="spellEnd"/>
      <w:r>
        <w:t xml:space="preserve"> and Normativity’, </w:t>
      </w:r>
      <w:r w:rsidRPr="009A19E8">
        <w:rPr>
          <w:i/>
        </w:rPr>
        <w:t>Pac</w:t>
      </w:r>
      <w:r>
        <w:rPr>
          <w:i/>
        </w:rPr>
        <w:t>ific Philosophical Q</w:t>
      </w:r>
      <w:r w:rsidRPr="009A19E8">
        <w:rPr>
          <w:i/>
        </w:rPr>
        <w:t>uarterly</w:t>
      </w:r>
      <w:r>
        <w:t>, 88 (3), 319-27.</w:t>
      </w:r>
      <w:proofErr w:type="gramEnd"/>
    </w:p>
    <w:p w:rsidR="00C4110A" w:rsidRDefault="00C4110A" w:rsidP="00C4110A">
      <w:pPr>
        <w:spacing w:line="480" w:lineRule="auto"/>
        <w:ind w:firstLine="720"/>
      </w:pPr>
      <w:r w:rsidRPr="007B128E">
        <w:t xml:space="preserve">Miller, </w:t>
      </w:r>
      <w:r>
        <w:t xml:space="preserve">D. (2006) </w:t>
      </w:r>
      <w:proofErr w:type="gramStart"/>
      <w:r w:rsidRPr="007B128E">
        <w:rPr>
          <w:i/>
        </w:rPr>
        <w:t>The</w:t>
      </w:r>
      <w:proofErr w:type="gramEnd"/>
      <w:r w:rsidRPr="007B128E">
        <w:rPr>
          <w:i/>
        </w:rPr>
        <w:t xml:space="preserve"> Liberty Reader</w:t>
      </w:r>
      <w:r>
        <w:rPr>
          <w:i/>
        </w:rPr>
        <w:t xml:space="preserve">. </w:t>
      </w:r>
      <w:r w:rsidRPr="007B128E">
        <w:t>Edinburgh: E</w:t>
      </w:r>
      <w:r>
        <w:t>dinburgh University Press.</w:t>
      </w:r>
    </w:p>
    <w:p w:rsidR="00C4110A" w:rsidRPr="00AB26C0" w:rsidRDefault="00C4110A" w:rsidP="00C4110A">
      <w:pPr>
        <w:pStyle w:val="EndnoteText"/>
        <w:spacing w:line="480" w:lineRule="auto"/>
        <w:ind w:firstLine="720"/>
        <w:rPr>
          <w:sz w:val="24"/>
          <w:szCs w:val="24"/>
        </w:rPr>
      </w:pPr>
      <w:r w:rsidRPr="007B128E">
        <w:rPr>
          <w:sz w:val="24"/>
          <w:szCs w:val="24"/>
        </w:rPr>
        <w:t xml:space="preserve">Nelson, </w:t>
      </w:r>
      <w:r>
        <w:rPr>
          <w:sz w:val="24"/>
          <w:szCs w:val="24"/>
        </w:rPr>
        <w:t>E. (2005) ‘</w:t>
      </w:r>
      <w:r w:rsidRPr="007B128E">
        <w:rPr>
          <w:sz w:val="24"/>
          <w:szCs w:val="24"/>
        </w:rPr>
        <w:t>Liberty. One Concept Too M</w:t>
      </w:r>
      <w:r>
        <w:rPr>
          <w:sz w:val="24"/>
          <w:szCs w:val="24"/>
        </w:rPr>
        <w:t>any?</w:t>
      </w:r>
      <w:proofErr w:type="gramStart"/>
      <w:r>
        <w:rPr>
          <w:sz w:val="24"/>
          <w:szCs w:val="24"/>
        </w:rPr>
        <w:t>’,</w:t>
      </w:r>
      <w:proofErr w:type="gramEnd"/>
      <w:r w:rsidRPr="007B128E">
        <w:rPr>
          <w:sz w:val="24"/>
          <w:szCs w:val="24"/>
        </w:rPr>
        <w:t xml:space="preserve"> </w:t>
      </w:r>
      <w:r w:rsidRPr="007B128E">
        <w:rPr>
          <w:i/>
          <w:sz w:val="24"/>
          <w:szCs w:val="24"/>
        </w:rPr>
        <w:t>Political Theory</w:t>
      </w:r>
      <w:r>
        <w:rPr>
          <w:sz w:val="24"/>
          <w:szCs w:val="24"/>
        </w:rPr>
        <w:t>, 33 (1),</w:t>
      </w:r>
      <w:r w:rsidRPr="007B128E">
        <w:rPr>
          <w:sz w:val="24"/>
          <w:szCs w:val="24"/>
        </w:rPr>
        <w:t xml:space="preserve">  58-78.</w:t>
      </w:r>
    </w:p>
    <w:p w:rsidR="00C4110A" w:rsidRDefault="00C4110A" w:rsidP="00C4110A">
      <w:pPr>
        <w:spacing w:line="480" w:lineRule="auto"/>
        <w:ind w:firstLine="720"/>
      </w:pPr>
      <w:r w:rsidRPr="007B128E">
        <w:t xml:space="preserve">Nicholson, </w:t>
      </w:r>
      <w:r>
        <w:t xml:space="preserve">P. (1990) </w:t>
      </w:r>
      <w:proofErr w:type="gramStart"/>
      <w:r w:rsidRPr="007B128E">
        <w:rPr>
          <w:i/>
        </w:rPr>
        <w:t>The</w:t>
      </w:r>
      <w:proofErr w:type="gramEnd"/>
      <w:r w:rsidRPr="007B128E">
        <w:rPr>
          <w:i/>
        </w:rPr>
        <w:t xml:space="preserve"> Political Philosophy of the British Idealists</w:t>
      </w:r>
      <w:r>
        <w:t>.</w:t>
      </w:r>
      <w:r w:rsidRPr="007B128E">
        <w:t xml:space="preserve"> </w:t>
      </w:r>
      <w:r>
        <w:t>Cambridge:</w:t>
      </w:r>
      <w:r w:rsidRPr="007B128E">
        <w:t xml:space="preserve"> C</w:t>
      </w:r>
      <w:r>
        <w:t>ambridge University Press.</w:t>
      </w:r>
    </w:p>
    <w:p w:rsidR="00C4110A" w:rsidRDefault="00C4110A" w:rsidP="00C4110A">
      <w:pPr>
        <w:spacing w:line="480" w:lineRule="auto"/>
        <w:ind w:firstLine="720"/>
      </w:pPr>
      <w:r w:rsidRPr="007B128E">
        <w:t xml:space="preserve">Pettit, </w:t>
      </w:r>
      <w:r>
        <w:t xml:space="preserve">P. (1996) ‘Freedom as Antipower’, </w:t>
      </w:r>
      <w:r w:rsidRPr="00F61A45">
        <w:rPr>
          <w:i/>
        </w:rPr>
        <w:t>Ethics</w:t>
      </w:r>
      <w:r>
        <w:t>, 106 (3), 576-604.</w:t>
      </w:r>
    </w:p>
    <w:p w:rsidR="00C4110A" w:rsidRDefault="00C4110A" w:rsidP="00C4110A">
      <w:pPr>
        <w:spacing w:line="480" w:lineRule="auto"/>
        <w:ind w:firstLine="720"/>
      </w:pPr>
      <w:r w:rsidRPr="007B128E">
        <w:t xml:space="preserve">Pettit, </w:t>
      </w:r>
      <w:r>
        <w:t xml:space="preserve">P. (1997) </w:t>
      </w:r>
      <w:r w:rsidRPr="007B128E">
        <w:rPr>
          <w:i/>
        </w:rPr>
        <w:t xml:space="preserve">Republicanism. </w:t>
      </w:r>
      <w:proofErr w:type="gramStart"/>
      <w:r w:rsidRPr="007B128E">
        <w:rPr>
          <w:i/>
        </w:rPr>
        <w:t>A Theory of Freedom and Government</w:t>
      </w:r>
      <w:r>
        <w:rPr>
          <w:i/>
        </w:rPr>
        <w:t>.</w:t>
      </w:r>
      <w:proofErr w:type="gramEnd"/>
      <w:r w:rsidRPr="007B128E">
        <w:t xml:space="preserve"> Oxford</w:t>
      </w:r>
      <w:r>
        <w:t>: Oxford University Press.</w:t>
      </w:r>
    </w:p>
    <w:p w:rsidR="00C4110A" w:rsidRDefault="00C4110A" w:rsidP="00C4110A">
      <w:pPr>
        <w:spacing w:line="480" w:lineRule="auto"/>
        <w:ind w:firstLine="720"/>
      </w:pPr>
      <w:r w:rsidRPr="007B128E">
        <w:t xml:space="preserve">Pettit, </w:t>
      </w:r>
      <w:r>
        <w:t>P. (2006) ‘</w:t>
      </w:r>
      <w:proofErr w:type="gramStart"/>
      <w:r w:rsidRPr="007B128E">
        <w:t>The</w:t>
      </w:r>
      <w:proofErr w:type="gramEnd"/>
      <w:r w:rsidRPr="007B128E">
        <w:t xml:space="preserve"> Determinacy of Republi</w:t>
      </w:r>
      <w:r>
        <w:t>can Policy: A Reply to McMahon’,</w:t>
      </w:r>
      <w:r w:rsidRPr="007B128E">
        <w:t xml:space="preserve"> </w:t>
      </w:r>
      <w:r w:rsidRPr="007B128E">
        <w:rPr>
          <w:i/>
        </w:rPr>
        <w:t>Philosophy and Public Affairs</w:t>
      </w:r>
      <w:r>
        <w:t xml:space="preserve"> 34</w:t>
      </w:r>
      <w:r w:rsidRPr="007B128E">
        <w:t xml:space="preserve"> </w:t>
      </w:r>
      <w:r>
        <w:t>(</w:t>
      </w:r>
      <w:r w:rsidRPr="007B128E">
        <w:t>3</w:t>
      </w:r>
      <w:r>
        <w:t>),</w:t>
      </w:r>
      <w:r w:rsidRPr="007B128E">
        <w:t xml:space="preserve"> 275-83</w:t>
      </w:r>
      <w:r>
        <w:t>.</w:t>
      </w:r>
    </w:p>
    <w:p w:rsidR="00C4110A" w:rsidRDefault="00C4110A" w:rsidP="00C4110A">
      <w:pPr>
        <w:spacing w:line="480" w:lineRule="auto"/>
        <w:ind w:firstLine="720"/>
      </w:pPr>
      <w:r>
        <w:lastRenderedPageBreak/>
        <w:t>Rattan, G. (2001) ‘</w:t>
      </w:r>
      <w:r w:rsidRPr="007B128E">
        <w:t>Prospects fo</w:t>
      </w:r>
      <w:r>
        <w:t>r a Contemporary Republicanism’.</w:t>
      </w:r>
      <w:r w:rsidRPr="007B128E">
        <w:t xml:space="preserve"> </w:t>
      </w:r>
      <w:proofErr w:type="gramStart"/>
      <w:r w:rsidRPr="007B128E">
        <w:rPr>
          <w:i/>
        </w:rPr>
        <w:t>Monist</w:t>
      </w:r>
      <w:r>
        <w:t xml:space="preserve">, 84 (1), </w:t>
      </w:r>
      <w:r w:rsidRPr="007B128E">
        <w:t>113-30</w:t>
      </w:r>
      <w:r>
        <w:t>.</w:t>
      </w:r>
      <w:proofErr w:type="gramEnd"/>
    </w:p>
    <w:p w:rsidR="00C4110A" w:rsidRDefault="00C4110A" w:rsidP="00C4110A">
      <w:pPr>
        <w:spacing w:line="480" w:lineRule="auto"/>
        <w:ind w:firstLine="720"/>
      </w:pPr>
      <w:r w:rsidRPr="007B128E">
        <w:t xml:space="preserve">Simhony, </w:t>
      </w:r>
      <w:r>
        <w:t xml:space="preserve">A. </w:t>
      </w:r>
      <w:r w:rsidRPr="007B128E">
        <w:t xml:space="preserve">(1991) </w:t>
      </w:r>
      <w:r>
        <w:t>‘</w:t>
      </w:r>
      <w:r w:rsidRPr="007B128E">
        <w:t xml:space="preserve">On Forcing Individuals to be Free: </w:t>
      </w:r>
      <w:proofErr w:type="spellStart"/>
      <w:r w:rsidRPr="007B128E">
        <w:t>T.H.Green’s</w:t>
      </w:r>
      <w:proofErr w:type="spellEnd"/>
      <w:r w:rsidRPr="007B128E">
        <w:t xml:space="preserve"> Libe</w:t>
      </w:r>
      <w:r>
        <w:t>ral Theory of Positive Freedom’,</w:t>
      </w:r>
      <w:r w:rsidRPr="007B128E">
        <w:t xml:space="preserve"> </w:t>
      </w:r>
      <w:r w:rsidRPr="007B128E">
        <w:rPr>
          <w:i/>
        </w:rPr>
        <w:t>Political Studies</w:t>
      </w:r>
      <w:r w:rsidRPr="007B128E">
        <w:t>, 39</w:t>
      </w:r>
      <w:r>
        <w:t xml:space="preserve"> (2),</w:t>
      </w:r>
      <w:r w:rsidRPr="007B128E">
        <w:t xml:space="preserve"> </w:t>
      </w:r>
      <w:r>
        <w:t>303-320.</w:t>
      </w:r>
    </w:p>
    <w:p w:rsidR="00C4110A" w:rsidRDefault="00C4110A" w:rsidP="00C4110A">
      <w:pPr>
        <w:spacing w:line="480" w:lineRule="auto"/>
        <w:ind w:firstLine="720"/>
      </w:pPr>
      <w:r w:rsidRPr="007B128E">
        <w:t xml:space="preserve">Simhony, </w:t>
      </w:r>
      <w:r>
        <w:t>A. (1993) ‘</w:t>
      </w:r>
      <w:r w:rsidRPr="007B128E">
        <w:t xml:space="preserve">Beyond Negative and Positive Freedom: </w:t>
      </w:r>
      <w:r>
        <w:t>T. H. Green’s Views on Freedom’,</w:t>
      </w:r>
      <w:r w:rsidRPr="007B128E">
        <w:t xml:space="preserve"> </w:t>
      </w:r>
      <w:r w:rsidRPr="007B128E">
        <w:rPr>
          <w:i/>
        </w:rPr>
        <w:t>Political Theory</w:t>
      </w:r>
      <w:r>
        <w:t xml:space="preserve"> 21 (1), </w:t>
      </w:r>
      <w:r w:rsidRPr="007B128E">
        <w:t>28-54</w:t>
      </w:r>
      <w:r>
        <w:t>.</w:t>
      </w:r>
    </w:p>
    <w:p w:rsidR="00C4110A" w:rsidRDefault="00C4110A" w:rsidP="00C4110A">
      <w:pPr>
        <w:spacing w:line="480" w:lineRule="auto"/>
        <w:ind w:firstLine="720"/>
      </w:pPr>
      <w:r w:rsidRPr="007B128E">
        <w:t xml:space="preserve">Simhony, </w:t>
      </w:r>
      <w:r>
        <w:t>A. (2005) ‘</w:t>
      </w:r>
      <w:r w:rsidRPr="007B128E">
        <w:t>A Liberalism of the Common Good: Some Recent Studies of T.H. Gree</w:t>
      </w:r>
      <w:r>
        <w:t>n’s Moral and Political Theory’,</w:t>
      </w:r>
      <w:r w:rsidRPr="007B128E">
        <w:t xml:space="preserve"> </w:t>
      </w:r>
      <w:r w:rsidRPr="007B128E">
        <w:rPr>
          <w:i/>
        </w:rPr>
        <w:t>The British Journal of Politics &amp; International Relations</w:t>
      </w:r>
      <w:r>
        <w:t>, 7 (1),</w:t>
      </w:r>
      <w:r w:rsidRPr="007B128E">
        <w:t xml:space="preserve"> 126-44</w:t>
      </w:r>
      <w:r>
        <w:t>.</w:t>
      </w:r>
    </w:p>
    <w:p w:rsidR="00C4110A" w:rsidRDefault="00C4110A" w:rsidP="00C4110A">
      <w:pPr>
        <w:spacing w:line="480" w:lineRule="auto"/>
        <w:ind w:firstLine="720"/>
      </w:pPr>
      <w:proofErr w:type="gramStart"/>
      <w:r w:rsidRPr="007B128E">
        <w:t xml:space="preserve">Skinner, </w:t>
      </w:r>
      <w:r>
        <w:t>Q. (2001) ‘A Third concept of Liberty’,</w:t>
      </w:r>
      <w:r w:rsidRPr="007B128E">
        <w:t xml:space="preserve"> in </w:t>
      </w:r>
      <w:r w:rsidRPr="007B128E">
        <w:rPr>
          <w:i/>
        </w:rPr>
        <w:t>Proceedings of the British Academy, 117.</w:t>
      </w:r>
      <w:proofErr w:type="gramEnd"/>
      <w:r w:rsidRPr="007B128E">
        <w:rPr>
          <w:i/>
        </w:rPr>
        <w:t xml:space="preserve"> </w:t>
      </w:r>
      <w:proofErr w:type="gramStart"/>
      <w:r w:rsidRPr="007B128E">
        <w:rPr>
          <w:i/>
        </w:rPr>
        <w:t>2001 Lectures</w:t>
      </w:r>
      <w:r>
        <w:t>.</w:t>
      </w:r>
      <w:proofErr w:type="gramEnd"/>
      <w:r>
        <w:t xml:space="preserve"> Oxford: Oxford University Press, pp.</w:t>
      </w:r>
      <w:r w:rsidRPr="007B128E">
        <w:t xml:space="preserve"> 237-68</w:t>
      </w:r>
      <w:r>
        <w:t xml:space="preserve">. </w:t>
      </w:r>
      <w:proofErr w:type="gramStart"/>
      <w:r>
        <w:t xml:space="preserve">Also reprinted in Miller, D. (2006) </w:t>
      </w:r>
      <w:r w:rsidRPr="00932DE0">
        <w:rPr>
          <w:i/>
        </w:rPr>
        <w:t>The Liberty Reader</w:t>
      </w:r>
      <w:r>
        <w:t>.</w:t>
      </w:r>
      <w:proofErr w:type="gramEnd"/>
      <w:r>
        <w:t xml:space="preserve"> Edinburgh: Edinburgh University Press, pp. 243-254.</w:t>
      </w:r>
    </w:p>
    <w:p w:rsidR="00C4110A" w:rsidRDefault="00C4110A" w:rsidP="00C4110A">
      <w:pPr>
        <w:spacing w:line="480" w:lineRule="auto"/>
        <w:ind w:firstLine="720"/>
      </w:pPr>
      <w:proofErr w:type="spellStart"/>
      <w:r>
        <w:t>Skorupski</w:t>
      </w:r>
      <w:proofErr w:type="spellEnd"/>
      <w:r>
        <w:t xml:space="preserve">, J. (2006) ‘Green and the Idealist Conception </w:t>
      </w:r>
      <w:proofErr w:type="gramStart"/>
      <w:r>
        <w:t>of  Personal</w:t>
      </w:r>
      <w:proofErr w:type="gramEnd"/>
      <w:r>
        <w:t xml:space="preserve"> good’ in Dimova-Cookson, M. and Mander, W. J. (eds) </w:t>
      </w:r>
      <w:r w:rsidRPr="00E57CBC">
        <w:rPr>
          <w:i/>
        </w:rPr>
        <w:t>T.H.Green: Ethics, Metaphysics and Po</w:t>
      </w:r>
      <w:r>
        <w:rPr>
          <w:i/>
        </w:rPr>
        <w:t>l</w:t>
      </w:r>
      <w:r w:rsidRPr="00E57CBC">
        <w:rPr>
          <w:i/>
        </w:rPr>
        <w:t>itical</w:t>
      </w:r>
      <w:r>
        <w:rPr>
          <w:i/>
        </w:rPr>
        <w:t xml:space="preserve"> </w:t>
      </w:r>
      <w:r w:rsidRPr="00E57CBC">
        <w:rPr>
          <w:i/>
        </w:rPr>
        <w:t>Phi</w:t>
      </w:r>
      <w:r>
        <w:rPr>
          <w:i/>
        </w:rPr>
        <w:t>l</w:t>
      </w:r>
      <w:r w:rsidRPr="00E57CBC">
        <w:rPr>
          <w:i/>
        </w:rPr>
        <w:t>osophy</w:t>
      </w:r>
      <w:r>
        <w:t>. Oxford: Oxford University Press, pp. 47-75.</w:t>
      </w:r>
    </w:p>
    <w:p w:rsidR="00C4110A" w:rsidRDefault="00C4110A" w:rsidP="00C4110A">
      <w:pPr>
        <w:spacing w:line="480" w:lineRule="auto"/>
        <w:ind w:firstLine="720"/>
      </w:pPr>
      <w:r>
        <w:t>Taylor, C. (2006) ‘What’s Wrong with Negative Liberty’</w:t>
      </w:r>
      <w:r w:rsidRPr="00932DE0">
        <w:t xml:space="preserve"> </w:t>
      </w:r>
      <w:r>
        <w:t>in Miller, D. (</w:t>
      </w:r>
      <w:proofErr w:type="gramStart"/>
      <w:r>
        <w:t>ed</w:t>
      </w:r>
      <w:proofErr w:type="gramEnd"/>
      <w:r>
        <w:t xml:space="preserve">) </w:t>
      </w:r>
      <w:r w:rsidRPr="00932DE0">
        <w:rPr>
          <w:i/>
        </w:rPr>
        <w:t>The Liberty Reader</w:t>
      </w:r>
      <w:r>
        <w:t>. Edinburgh: Edinburgh University Press, pp. 141-162.</w:t>
      </w:r>
    </w:p>
    <w:p w:rsidR="00C4110A" w:rsidRDefault="00C4110A" w:rsidP="00C4110A">
      <w:pPr>
        <w:spacing w:line="480" w:lineRule="auto"/>
        <w:ind w:firstLine="720"/>
      </w:pPr>
      <w:r>
        <w:t xml:space="preserve">Tyler, C. </w:t>
      </w:r>
      <w:proofErr w:type="gramStart"/>
      <w:r w:rsidRPr="003434DB">
        <w:rPr>
          <w:i/>
        </w:rPr>
        <w:t>The Metaphysics of Self-realisation and Freedom</w:t>
      </w:r>
      <w:r>
        <w:t>.</w:t>
      </w:r>
      <w:proofErr w:type="gramEnd"/>
      <w:r>
        <w:t xml:space="preserve"> Exeter: Imprint-Academic.</w:t>
      </w:r>
    </w:p>
    <w:p w:rsidR="00C4110A" w:rsidRDefault="00C4110A" w:rsidP="00C4110A">
      <w:pPr>
        <w:spacing w:line="480" w:lineRule="auto"/>
        <w:ind w:firstLine="720"/>
      </w:pPr>
      <w:proofErr w:type="spellStart"/>
      <w:r w:rsidRPr="007B128E">
        <w:t>Wempe</w:t>
      </w:r>
      <w:proofErr w:type="spellEnd"/>
      <w:r w:rsidRPr="007B128E">
        <w:t>,</w:t>
      </w:r>
      <w:r>
        <w:t xml:space="preserve"> B. </w:t>
      </w:r>
      <w:r w:rsidRPr="007B128E">
        <w:t xml:space="preserve"> </w:t>
      </w:r>
      <w:r>
        <w:t xml:space="preserve">(2004) </w:t>
      </w:r>
      <w:proofErr w:type="spellStart"/>
      <w:r w:rsidRPr="007B128E">
        <w:rPr>
          <w:i/>
        </w:rPr>
        <w:t>T.H.Green’s</w:t>
      </w:r>
      <w:proofErr w:type="spellEnd"/>
      <w:r w:rsidRPr="007B128E">
        <w:rPr>
          <w:i/>
        </w:rPr>
        <w:t xml:space="preserve"> Theory of Positive Freedom</w:t>
      </w:r>
      <w:r>
        <w:rPr>
          <w:i/>
        </w:rPr>
        <w:t xml:space="preserve">. </w:t>
      </w:r>
      <w:r w:rsidRPr="00672605">
        <w:t>Exeter: Imprint Academic</w:t>
      </w:r>
      <w:r>
        <w:rPr>
          <w:i/>
        </w:rPr>
        <w:t>.</w:t>
      </w:r>
    </w:p>
    <w:p w:rsidR="00C4110A" w:rsidRPr="00443270" w:rsidRDefault="00C4110A" w:rsidP="00C4110A">
      <w:pPr>
        <w:spacing w:line="480" w:lineRule="auto"/>
        <w:ind w:firstLine="360"/>
        <w:jc w:val="both"/>
      </w:pPr>
    </w:p>
    <w:p w:rsidR="00C4110A" w:rsidRDefault="00C4110A"/>
    <w:sectPr w:rsidR="00C4110A" w:rsidSect="00616DA0">
      <w:endnotePr>
        <w:numFmt w:val="decimal"/>
      </w:endnotePr>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F05" w:rsidRDefault="00F91F05" w:rsidP="00B35E6C">
      <w:r>
        <w:separator/>
      </w:r>
    </w:p>
  </w:endnote>
  <w:endnote w:type="continuationSeparator" w:id="0">
    <w:p w:rsidR="00F91F05" w:rsidRDefault="00F91F05" w:rsidP="00B35E6C">
      <w:r>
        <w:continuationSeparator/>
      </w:r>
    </w:p>
  </w:endnote>
  <w:endnote w:id="1">
    <w:p w:rsidR="00044E47" w:rsidRPr="007B128E" w:rsidRDefault="00044E47" w:rsidP="003044FD">
      <w:pPr>
        <w:pStyle w:val="EndnoteText"/>
        <w:spacing w:line="480" w:lineRule="auto"/>
        <w:rPr>
          <w:sz w:val="24"/>
          <w:szCs w:val="24"/>
        </w:rPr>
      </w:pPr>
      <w:r>
        <w:rPr>
          <w:rStyle w:val="EndnoteReference"/>
        </w:rPr>
        <w:endnoteRef/>
      </w:r>
      <w:r>
        <w:t xml:space="preserve"> </w:t>
      </w:r>
      <w:r w:rsidRPr="007B128E">
        <w:rPr>
          <w:sz w:val="24"/>
          <w:szCs w:val="24"/>
        </w:rPr>
        <w:t>I will use the terms freedom and liberty interchangeably.</w:t>
      </w:r>
    </w:p>
  </w:endnote>
  <w:endnote w:id="2">
    <w:p w:rsidR="00044E47" w:rsidRPr="007B128E" w:rsidRDefault="00044E47" w:rsidP="00214F56">
      <w:r w:rsidRPr="007B128E">
        <w:rPr>
          <w:rStyle w:val="EndnoteReference"/>
        </w:rPr>
        <w:endnoteRef/>
      </w:r>
      <w:r w:rsidRPr="007B128E">
        <w:t xml:space="preserve"> The question about the normative nature of the republican concept of liberty has provoked debate in the literature. Christman claims that Pettit’s work has brought to light the distinction between normative and non-normative conceptions of freedom, where normative conceptions define freedom through moralised terms like </w:t>
      </w:r>
      <w:r>
        <w:t>‘</w:t>
      </w:r>
      <w:r w:rsidRPr="007B128E">
        <w:t xml:space="preserve">the absence of </w:t>
      </w:r>
      <w:r w:rsidRPr="007B128E">
        <w:rPr>
          <w:i/>
        </w:rPr>
        <w:t xml:space="preserve">unjust </w:t>
      </w:r>
      <w:r w:rsidRPr="007B128E">
        <w:t>coercive forces</w:t>
      </w:r>
      <w:r>
        <w:t>’ (</w:t>
      </w:r>
      <w:r w:rsidRPr="007B128E">
        <w:rPr>
          <w:spacing w:val="-3"/>
        </w:rPr>
        <w:t xml:space="preserve">Christman, </w:t>
      </w:r>
      <w:r>
        <w:rPr>
          <w:spacing w:val="-3"/>
        </w:rPr>
        <w:t>1998, p.</w:t>
      </w:r>
      <w:r w:rsidRPr="007B128E">
        <w:t xml:space="preserve">203), while </w:t>
      </w:r>
      <w:proofErr w:type="spellStart"/>
      <w:r w:rsidRPr="007B128E">
        <w:t>nonnormative</w:t>
      </w:r>
      <w:proofErr w:type="spellEnd"/>
      <w:r w:rsidRPr="007B128E">
        <w:t xml:space="preserve"> conceptions make no use of moral language. He argues that Pettit’s freedom as </w:t>
      </w:r>
      <w:proofErr w:type="spellStart"/>
      <w:r w:rsidRPr="007B128E">
        <w:t>nondomination</w:t>
      </w:r>
      <w:proofErr w:type="spellEnd"/>
      <w:r w:rsidRPr="007B128E">
        <w:t xml:space="preserve"> is a normative concept. </w:t>
      </w:r>
      <w:proofErr w:type="spellStart"/>
      <w:r w:rsidRPr="007B128E">
        <w:t>Gurpreet</w:t>
      </w:r>
      <w:proofErr w:type="spellEnd"/>
      <w:r w:rsidRPr="007B128E">
        <w:t xml:space="preserve"> Rattan argues that the republican theory has </w:t>
      </w:r>
      <w:r>
        <w:t>‘</w:t>
      </w:r>
      <w:r w:rsidRPr="007B128E">
        <w:t xml:space="preserve">a moral foundation, as it is intrinsically other-regarding: it requires the non-dominated status of </w:t>
      </w:r>
      <w:r w:rsidRPr="007B128E">
        <w:rPr>
          <w:i/>
        </w:rPr>
        <w:t xml:space="preserve">others </w:t>
      </w:r>
      <w:r>
        <w:t>as “the supreme limiting condition”</w:t>
      </w:r>
      <w:r w:rsidRPr="007B128E">
        <w:t xml:space="preserve"> of one’s own non-dominated status</w:t>
      </w:r>
      <w:r>
        <w:t>’</w:t>
      </w:r>
      <w:r w:rsidRPr="007B128E">
        <w:t xml:space="preserve"> </w:t>
      </w:r>
      <w:r>
        <w:t>(</w:t>
      </w:r>
      <w:r w:rsidRPr="007B128E">
        <w:t xml:space="preserve">p. 125). In support of reading Pettit’s theory as normative see McMahon, </w:t>
      </w:r>
      <w:r>
        <w:t>2005.</w:t>
      </w:r>
      <w:r w:rsidRPr="007B128E">
        <w:t xml:space="preserve"> Pettit does state that his account of freedom </w:t>
      </w:r>
      <w:r>
        <w:t>‘</w:t>
      </w:r>
      <w:r w:rsidRPr="007B128E">
        <w:t xml:space="preserve">can be explicated in non-normative </w:t>
      </w:r>
      <w:proofErr w:type="gramStart"/>
      <w:r w:rsidRPr="007B128E">
        <w:t>terms</w:t>
      </w:r>
      <w:r>
        <w:t>’</w:t>
      </w:r>
      <w:proofErr w:type="gramEnd"/>
      <w:r w:rsidRPr="007B128E">
        <w:rPr>
          <w:rStyle w:val="EndnoteReference"/>
        </w:rPr>
        <w:t xml:space="preserve"> </w:t>
      </w:r>
      <w:r w:rsidRPr="007B128E">
        <w:t>(Pettit, 2006</w:t>
      </w:r>
      <w:r>
        <w:t>, p. 278</w:t>
      </w:r>
      <w:r w:rsidRPr="007B128E">
        <w:t>)</w:t>
      </w:r>
      <w:r>
        <w:t>,</w:t>
      </w:r>
      <w:r w:rsidRPr="007B128E">
        <w:t xml:space="preserve"> but this does not preclude its more obvious reading as a normative concept. The claim here is that the link between republican freedom and social justice makes the former a normative concept.</w:t>
      </w:r>
    </w:p>
  </w:endnote>
  <w:endnote w:id="3">
    <w:p w:rsidR="00044E47" w:rsidRPr="007B128E" w:rsidRDefault="00044E47" w:rsidP="00214F56">
      <w:pPr>
        <w:pStyle w:val="EndnoteText"/>
        <w:jc w:val="both"/>
        <w:rPr>
          <w:sz w:val="24"/>
          <w:szCs w:val="24"/>
        </w:rPr>
      </w:pPr>
      <w:r w:rsidRPr="007B128E">
        <w:rPr>
          <w:rStyle w:val="EndnoteReference"/>
          <w:sz w:val="24"/>
          <w:szCs w:val="24"/>
        </w:rPr>
        <w:endnoteRef/>
      </w:r>
      <w:r w:rsidRPr="007B128E">
        <w:rPr>
          <w:sz w:val="24"/>
          <w:szCs w:val="24"/>
        </w:rPr>
        <w:t xml:space="preserve"> This issue is well registered by Rattan (pp.122-3) who points out that from the point of view of the dominators the republican policies do not look so attractive. The state tracks the interest of the dominated but not of the dominators – for the latter the state appears as an instrument of domination. A similar point is made by </w:t>
      </w:r>
      <w:proofErr w:type="spellStart"/>
      <w:r w:rsidRPr="007B128E">
        <w:rPr>
          <w:sz w:val="24"/>
          <w:szCs w:val="24"/>
        </w:rPr>
        <w:t>Merilyn</w:t>
      </w:r>
      <w:proofErr w:type="spellEnd"/>
      <w:r w:rsidRPr="007B128E">
        <w:rPr>
          <w:sz w:val="24"/>
          <w:szCs w:val="24"/>
        </w:rPr>
        <w:t xml:space="preserve"> Friedman (</w:t>
      </w:r>
      <w:r>
        <w:rPr>
          <w:sz w:val="24"/>
          <w:szCs w:val="24"/>
        </w:rPr>
        <w:t xml:space="preserve">pp. </w:t>
      </w:r>
      <w:r w:rsidRPr="007B128E">
        <w:rPr>
          <w:sz w:val="24"/>
          <w:szCs w:val="24"/>
        </w:rPr>
        <w:t xml:space="preserve">246-68) who argues that penalising those who have dominating power but do not use </w:t>
      </w:r>
      <w:r>
        <w:rPr>
          <w:sz w:val="24"/>
          <w:szCs w:val="24"/>
        </w:rPr>
        <w:t xml:space="preserve">it, </w:t>
      </w:r>
      <w:proofErr w:type="gramStart"/>
      <w:r w:rsidRPr="007B128E">
        <w:rPr>
          <w:sz w:val="24"/>
          <w:szCs w:val="24"/>
        </w:rPr>
        <w:t>may</w:t>
      </w:r>
      <w:proofErr w:type="gramEnd"/>
      <w:r w:rsidRPr="007B128E">
        <w:rPr>
          <w:sz w:val="24"/>
          <w:szCs w:val="24"/>
        </w:rPr>
        <w:t xml:space="preserve"> in some cases amount to a totalitarian intervention: the implication here is that such penalising policies violate freedom.</w:t>
      </w:r>
    </w:p>
  </w:endnote>
  <w:endnote w:id="4">
    <w:p w:rsidR="00044E47" w:rsidRDefault="00044E47" w:rsidP="00214F56">
      <w:pPr>
        <w:pStyle w:val="EndnoteText"/>
        <w:jc w:val="both"/>
        <w:rPr>
          <w:sz w:val="24"/>
          <w:szCs w:val="24"/>
        </w:rPr>
      </w:pPr>
      <w:r w:rsidRPr="007B128E">
        <w:rPr>
          <w:rStyle w:val="EndnoteReference"/>
          <w:sz w:val="24"/>
          <w:szCs w:val="24"/>
        </w:rPr>
        <w:endnoteRef/>
      </w:r>
      <w:r w:rsidRPr="007B128E">
        <w:rPr>
          <w:sz w:val="24"/>
          <w:szCs w:val="24"/>
        </w:rPr>
        <w:t xml:space="preserve"> See also Pettit</w:t>
      </w:r>
      <w:r>
        <w:rPr>
          <w:sz w:val="24"/>
          <w:szCs w:val="24"/>
        </w:rPr>
        <w:t>, 2006, p. 280</w:t>
      </w:r>
      <w:r w:rsidRPr="007B128E">
        <w:rPr>
          <w:sz w:val="24"/>
          <w:szCs w:val="24"/>
        </w:rPr>
        <w:t xml:space="preserve"> where he claims that what makes a private act of interference non-arbitrary is </w:t>
      </w:r>
      <w:r>
        <w:rPr>
          <w:sz w:val="24"/>
          <w:szCs w:val="24"/>
        </w:rPr>
        <w:t>‘</w:t>
      </w:r>
      <w:r w:rsidRPr="007B128E">
        <w:rPr>
          <w:sz w:val="24"/>
          <w:szCs w:val="24"/>
        </w:rPr>
        <w:t>the fact that it is forced to track the avowal-ready inte</w:t>
      </w:r>
      <w:r>
        <w:rPr>
          <w:sz w:val="24"/>
          <w:szCs w:val="24"/>
        </w:rPr>
        <w:t>rests of that particular person’.</w:t>
      </w:r>
    </w:p>
    <w:p w:rsidR="00C4110A" w:rsidRPr="007B128E" w:rsidRDefault="00C4110A" w:rsidP="00214F56">
      <w:pPr>
        <w:pStyle w:val="EndnoteText"/>
        <w:jc w:val="both"/>
        <w:rPr>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85550"/>
      <w:docPartObj>
        <w:docPartGallery w:val="Page Numbers (Bottom of Page)"/>
        <w:docPartUnique/>
      </w:docPartObj>
    </w:sdtPr>
    <w:sdtEndPr>
      <w:rPr>
        <w:noProof/>
      </w:rPr>
    </w:sdtEndPr>
    <w:sdtContent>
      <w:p w:rsidR="00044E47" w:rsidRDefault="00616DA0">
        <w:pPr>
          <w:pStyle w:val="Footer"/>
          <w:jc w:val="right"/>
        </w:pPr>
        <w:r>
          <w:fldChar w:fldCharType="begin"/>
        </w:r>
        <w:r w:rsidR="00044E47">
          <w:instrText xml:space="preserve"> PAGE   \* MERGEFORMAT </w:instrText>
        </w:r>
        <w:r>
          <w:fldChar w:fldCharType="separate"/>
        </w:r>
        <w:r w:rsidR="009614EF">
          <w:rPr>
            <w:noProof/>
          </w:rPr>
          <w:t>9</w:t>
        </w:r>
        <w:r>
          <w:rPr>
            <w:noProof/>
          </w:rPr>
          <w:fldChar w:fldCharType="end"/>
        </w:r>
      </w:p>
    </w:sdtContent>
  </w:sdt>
  <w:p w:rsidR="00044E47" w:rsidRDefault="00044E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F05" w:rsidRDefault="00F91F05" w:rsidP="00B35E6C">
      <w:r>
        <w:separator/>
      </w:r>
    </w:p>
  </w:footnote>
  <w:footnote w:type="continuationSeparator" w:id="0">
    <w:p w:rsidR="00F91F05" w:rsidRDefault="00F91F05" w:rsidP="00B35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145F5"/>
    <w:multiLevelType w:val="hybridMultilevel"/>
    <w:tmpl w:val="D92CE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FF724C"/>
    <w:multiLevelType w:val="multilevel"/>
    <w:tmpl w:val="503C72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E63"/>
    <w:rsid w:val="000005D5"/>
    <w:rsid w:val="00044E47"/>
    <w:rsid w:val="00087A7E"/>
    <w:rsid w:val="0009494E"/>
    <w:rsid w:val="000D4A66"/>
    <w:rsid w:val="000D4B18"/>
    <w:rsid w:val="0010557C"/>
    <w:rsid w:val="0013240E"/>
    <w:rsid w:val="001B1773"/>
    <w:rsid w:val="001C6BCB"/>
    <w:rsid w:val="00214F56"/>
    <w:rsid w:val="00224531"/>
    <w:rsid w:val="00241CDE"/>
    <w:rsid w:val="00275075"/>
    <w:rsid w:val="003044FD"/>
    <w:rsid w:val="0037347D"/>
    <w:rsid w:val="004675AD"/>
    <w:rsid w:val="004F6B2D"/>
    <w:rsid w:val="00554520"/>
    <w:rsid w:val="005909D7"/>
    <w:rsid w:val="00616DA0"/>
    <w:rsid w:val="00621EB2"/>
    <w:rsid w:val="00632177"/>
    <w:rsid w:val="00656E31"/>
    <w:rsid w:val="00672E62"/>
    <w:rsid w:val="006D1F4A"/>
    <w:rsid w:val="006E05BC"/>
    <w:rsid w:val="0072087B"/>
    <w:rsid w:val="00721F42"/>
    <w:rsid w:val="00724659"/>
    <w:rsid w:val="0073701D"/>
    <w:rsid w:val="00766F03"/>
    <w:rsid w:val="00767756"/>
    <w:rsid w:val="007D30DE"/>
    <w:rsid w:val="00833D8A"/>
    <w:rsid w:val="008A2A4F"/>
    <w:rsid w:val="008A3195"/>
    <w:rsid w:val="008A45ED"/>
    <w:rsid w:val="00930D0A"/>
    <w:rsid w:val="009614EF"/>
    <w:rsid w:val="009C6E63"/>
    <w:rsid w:val="00A028F8"/>
    <w:rsid w:val="00A97F4D"/>
    <w:rsid w:val="00AB01F0"/>
    <w:rsid w:val="00B340D7"/>
    <w:rsid w:val="00B35E6C"/>
    <w:rsid w:val="00B44D49"/>
    <w:rsid w:val="00B66618"/>
    <w:rsid w:val="00B80E9A"/>
    <w:rsid w:val="00BB0BB9"/>
    <w:rsid w:val="00BB2D43"/>
    <w:rsid w:val="00BF540F"/>
    <w:rsid w:val="00C4110A"/>
    <w:rsid w:val="00C56A20"/>
    <w:rsid w:val="00CA7FCC"/>
    <w:rsid w:val="00CF3EBC"/>
    <w:rsid w:val="00D547C2"/>
    <w:rsid w:val="00DF6AD5"/>
    <w:rsid w:val="00E0607E"/>
    <w:rsid w:val="00F3241D"/>
    <w:rsid w:val="00F91F05"/>
    <w:rsid w:val="00FB7281"/>
    <w:rsid w:val="00FE6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6E6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B35E6C"/>
    <w:rPr>
      <w:sz w:val="20"/>
      <w:szCs w:val="20"/>
    </w:rPr>
  </w:style>
  <w:style w:type="character" w:customStyle="1" w:styleId="EndnoteTextChar">
    <w:name w:val="Endnote Text Char"/>
    <w:basedOn w:val="DefaultParagraphFont"/>
    <w:link w:val="EndnoteText"/>
    <w:rsid w:val="00B35E6C"/>
  </w:style>
  <w:style w:type="character" w:styleId="EndnoteReference">
    <w:name w:val="endnote reference"/>
    <w:rsid w:val="00B35E6C"/>
    <w:rPr>
      <w:vertAlign w:val="superscript"/>
    </w:rPr>
  </w:style>
  <w:style w:type="paragraph" w:styleId="Header">
    <w:name w:val="header"/>
    <w:basedOn w:val="Normal"/>
    <w:link w:val="HeaderChar"/>
    <w:rsid w:val="00B44D49"/>
    <w:pPr>
      <w:tabs>
        <w:tab w:val="center" w:pos="4513"/>
        <w:tab w:val="right" w:pos="9026"/>
      </w:tabs>
    </w:pPr>
  </w:style>
  <w:style w:type="character" w:customStyle="1" w:styleId="HeaderChar">
    <w:name w:val="Header Char"/>
    <w:basedOn w:val="DefaultParagraphFont"/>
    <w:link w:val="Header"/>
    <w:rsid w:val="00B44D49"/>
    <w:rPr>
      <w:sz w:val="24"/>
      <w:szCs w:val="24"/>
    </w:rPr>
  </w:style>
  <w:style w:type="paragraph" w:styleId="Footer">
    <w:name w:val="footer"/>
    <w:basedOn w:val="Normal"/>
    <w:link w:val="FooterChar"/>
    <w:uiPriority w:val="99"/>
    <w:rsid w:val="00B44D49"/>
    <w:pPr>
      <w:tabs>
        <w:tab w:val="center" w:pos="4513"/>
        <w:tab w:val="right" w:pos="9026"/>
      </w:tabs>
    </w:pPr>
  </w:style>
  <w:style w:type="character" w:customStyle="1" w:styleId="FooterChar">
    <w:name w:val="Footer Char"/>
    <w:basedOn w:val="DefaultParagraphFont"/>
    <w:link w:val="Footer"/>
    <w:uiPriority w:val="99"/>
    <w:rsid w:val="00B44D49"/>
    <w:rPr>
      <w:sz w:val="24"/>
      <w:szCs w:val="24"/>
    </w:rPr>
  </w:style>
  <w:style w:type="paragraph" w:styleId="ListParagraph">
    <w:name w:val="List Paragraph"/>
    <w:basedOn w:val="Normal"/>
    <w:uiPriority w:val="34"/>
    <w:qFormat/>
    <w:rsid w:val="004675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6E6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B35E6C"/>
    <w:rPr>
      <w:sz w:val="20"/>
      <w:szCs w:val="20"/>
    </w:rPr>
  </w:style>
  <w:style w:type="character" w:customStyle="1" w:styleId="EndnoteTextChar">
    <w:name w:val="Endnote Text Char"/>
    <w:basedOn w:val="DefaultParagraphFont"/>
    <w:link w:val="EndnoteText"/>
    <w:rsid w:val="00B35E6C"/>
  </w:style>
  <w:style w:type="character" w:styleId="EndnoteReference">
    <w:name w:val="endnote reference"/>
    <w:rsid w:val="00B35E6C"/>
    <w:rPr>
      <w:vertAlign w:val="superscript"/>
    </w:rPr>
  </w:style>
  <w:style w:type="paragraph" w:styleId="Header">
    <w:name w:val="header"/>
    <w:basedOn w:val="Normal"/>
    <w:link w:val="HeaderChar"/>
    <w:rsid w:val="00B44D49"/>
    <w:pPr>
      <w:tabs>
        <w:tab w:val="center" w:pos="4513"/>
        <w:tab w:val="right" w:pos="9026"/>
      </w:tabs>
    </w:pPr>
  </w:style>
  <w:style w:type="character" w:customStyle="1" w:styleId="HeaderChar">
    <w:name w:val="Header Char"/>
    <w:basedOn w:val="DefaultParagraphFont"/>
    <w:link w:val="Header"/>
    <w:rsid w:val="00B44D49"/>
    <w:rPr>
      <w:sz w:val="24"/>
      <w:szCs w:val="24"/>
    </w:rPr>
  </w:style>
  <w:style w:type="paragraph" w:styleId="Footer">
    <w:name w:val="footer"/>
    <w:basedOn w:val="Normal"/>
    <w:link w:val="FooterChar"/>
    <w:uiPriority w:val="99"/>
    <w:rsid w:val="00B44D49"/>
    <w:pPr>
      <w:tabs>
        <w:tab w:val="center" w:pos="4513"/>
        <w:tab w:val="right" w:pos="9026"/>
      </w:tabs>
    </w:pPr>
  </w:style>
  <w:style w:type="character" w:customStyle="1" w:styleId="FooterChar">
    <w:name w:val="Footer Char"/>
    <w:basedOn w:val="DefaultParagraphFont"/>
    <w:link w:val="Footer"/>
    <w:uiPriority w:val="99"/>
    <w:rsid w:val="00B44D49"/>
    <w:rPr>
      <w:sz w:val="24"/>
      <w:szCs w:val="24"/>
    </w:rPr>
  </w:style>
  <w:style w:type="paragraph" w:styleId="ListParagraph">
    <w:name w:val="List Paragraph"/>
    <w:basedOn w:val="Normal"/>
    <w:uiPriority w:val="34"/>
    <w:qFormat/>
    <w:rsid w:val="004675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69E70-18AE-4147-B58B-7DA2DCDB0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339520B0.dotm</Template>
  <TotalTime>60</TotalTime>
  <Pages>13</Pages>
  <Words>5635</Words>
  <Characters>30271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Durham University</Company>
  <LinksUpToDate>false</LinksUpToDate>
  <CharactersWithSpaces>35835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dgi0md</dc:creator>
  <cp:lastModifiedBy>dgi0md</cp:lastModifiedBy>
  <cp:revision>11</cp:revision>
  <cp:lastPrinted>2012-12-14T15:03:00Z</cp:lastPrinted>
  <dcterms:created xsi:type="dcterms:W3CDTF">2012-12-15T17:39:00Z</dcterms:created>
  <dcterms:modified xsi:type="dcterms:W3CDTF">2012-12-17T12:40:00Z</dcterms:modified>
</cp:coreProperties>
</file>