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33E" w:rsidRDefault="0047333E" w:rsidP="0047333E">
      <w:pPr>
        <w:pStyle w:val="Default"/>
        <w:spacing w:line="360" w:lineRule="auto"/>
        <w:rPr>
          <w:b/>
          <w:bCs/>
          <w:sz w:val="23"/>
          <w:szCs w:val="23"/>
          <w:lang w:val="en-US"/>
        </w:rPr>
      </w:pPr>
      <w:r>
        <w:rPr>
          <w:b/>
          <w:bCs/>
          <w:sz w:val="23"/>
          <w:szCs w:val="23"/>
          <w:lang w:val="en-US"/>
        </w:rPr>
        <w:t xml:space="preserve">The role of affirmation, difference and repetition towards the genesis of sense in </w:t>
      </w:r>
      <w:proofErr w:type="spellStart"/>
      <w:r>
        <w:rPr>
          <w:b/>
          <w:bCs/>
          <w:sz w:val="23"/>
          <w:szCs w:val="23"/>
          <w:lang w:val="en-US"/>
        </w:rPr>
        <w:t>Hyppolite</w:t>
      </w:r>
      <w:proofErr w:type="spellEnd"/>
      <w:r>
        <w:rPr>
          <w:b/>
          <w:bCs/>
          <w:sz w:val="23"/>
          <w:szCs w:val="23"/>
          <w:lang w:val="en-US"/>
        </w:rPr>
        <w:t xml:space="preserve"> and </w:t>
      </w:r>
      <w:proofErr w:type="spellStart"/>
      <w:r>
        <w:rPr>
          <w:b/>
          <w:bCs/>
          <w:sz w:val="23"/>
          <w:szCs w:val="23"/>
          <w:lang w:val="en-US"/>
        </w:rPr>
        <w:t>Deleuze</w:t>
      </w:r>
      <w:proofErr w:type="spellEnd"/>
    </w:p>
    <w:p w:rsidR="0047333E" w:rsidRDefault="0047333E" w:rsidP="0047333E">
      <w:pPr>
        <w:pStyle w:val="Default"/>
        <w:spacing w:line="360" w:lineRule="auto"/>
        <w:rPr>
          <w:b/>
          <w:bCs/>
          <w:sz w:val="23"/>
          <w:szCs w:val="23"/>
          <w:lang w:val="en-US"/>
        </w:rPr>
      </w:pPr>
    </w:p>
    <w:p w:rsidR="0047333E" w:rsidRPr="004270D4" w:rsidRDefault="0047333E" w:rsidP="0047333E">
      <w:pPr>
        <w:pStyle w:val="Default"/>
        <w:spacing w:line="360" w:lineRule="auto"/>
        <w:rPr>
          <w:sz w:val="20"/>
          <w:szCs w:val="20"/>
        </w:rPr>
      </w:pPr>
      <w:r w:rsidRPr="004270D4">
        <w:rPr>
          <w:b/>
          <w:bCs/>
          <w:sz w:val="20"/>
          <w:szCs w:val="20"/>
        </w:rPr>
        <w:t xml:space="preserve">Wilma Pilati </w:t>
      </w:r>
    </w:p>
    <w:p w:rsidR="0047333E" w:rsidRPr="004270D4" w:rsidRDefault="0047333E" w:rsidP="0047333E">
      <w:pPr>
        <w:pStyle w:val="Default"/>
        <w:spacing w:line="360" w:lineRule="auto"/>
        <w:rPr>
          <w:sz w:val="20"/>
          <w:szCs w:val="20"/>
        </w:rPr>
      </w:pPr>
      <w:r>
        <w:rPr>
          <w:b/>
          <w:bCs/>
          <w:sz w:val="20"/>
          <w:szCs w:val="20"/>
        </w:rPr>
        <w:t>Università degli S</w:t>
      </w:r>
      <w:r w:rsidRPr="004270D4">
        <w:rPr>
          <w:b/>
          <w:bCs/>
          <w:sz w:val="20"/>
          <w:szCs w:val="20"/>
        </w:rPr>
        <w:t xml:space="preserve">tudi di Padova </w:t>
      </w:r>
    </w:p>
    <w:p w:rsidR="0047333E" w:rsidRPr="004270D4" w:rsidRDefault="0047333E" w:rsidP="0047333E">
      <w:pPr>
        <w:pStyle w:val="Default"/>
        <w:spacing w:line="360" w:lineRule="auto"/>
        <w:rPr>
          <w:sz w:val="20"/>
          <w:szCs w:val="20"/>
          <w:lang w:val="en-US"/>
        </w:rPr>
      </w:pPr>
      <w:r w:rsidRPr="004270D4">
        <w:rPr>
          <w:color w:val="0000FF"/>
          <w:sz w:val="20"/>
          <w:szCs w:val="20"/>
          <w:lang w:val="en-US"/>
        </w:rPr>
        <w:t xml:space="preserve">wilma.pilati@phd.unipd.it </w:t>
      </w:r>
    </w:p>
    <w:p w:rsidR="0047333E" w:rsidRPr="004270D4" w:rsidRDefault="0047333E" w:rsidP="0047333E">
      <w:pPr>
        <w:pStyle w:val="Default"/>
        <w:spacing w:line="360" w:lineRule="auto"/>
        <w:rPr>
          <w:b/>
          <w:bCs/>
          <w:sz w:val="20"/>
          <w:szCs w:val="20"/>
          <w:lang w:val="en-US"/>
        </w:rPr>
      </w:pPr>
    </w:p>
    <w:p w:rsidR="0047333E" w:rsidRDefault="0047333E" w:rsidP="0047333E">
      <w:pPr>
        <w:pStyle w:val="Default"/>
        <w:spacing w:line="360" w:lineRule="auto"/>
        <w:jc w:val="both"/>
        <w:rPr>
          <w:lang w:val="en-US"/>
        </w:rPr>
      </w:pPr>
      <w:r w:rsidRPr="00286CFD">
        <w:rPr>
          <w:lang w:val="en-US"/>
        </w:rPr>
        <w:t xml:space="preserve">The </w:t>
      </w:r>
      <w:r>
        <w:rPr>
          <w:lang w:val="en-US"/>
        </w:rPr>
        <w:t>key question of this</w:t>
      </w:r>
      <w:r w:rsidRPr="00286CFD">
        <w:rPr>
          <w:lang w:val="en-US"/>
        </w:rPr>
        <w:t xml:space="preserve"> paper</w:t>
      </w:r>
      <w:r>
        <w:rPr>
          <w:lang w:val="en-US"/>
        </w:rPr>
        <w:t xml:space="preserve"> concerns the notions of affirmation, difference and repetition towards the concept of “Genesis of Sense” in </w:t>
      </w:r>
      <w:proofErr w:type="spellStart"/>
      <w:r>
        <w:rPr>
          <w:lang w:val="en-US"/>
        </w:rPr>
        <w:t>Hyppolite</w:t>
      </w:r>
      <w:proofErr w:type="spellEnd"/>
      <w:r>
        <w:rPr>
          <w:lang w:val="en-US"/>
        </w:rPr>
        <w:t xml:space="preserve"> and </w:t>
      </w:r>
      <w:proofErr w:type="spellStart"/>
      <w:r>
        <w:rPr>
          <w:lang w:val="en-US"/>
        </w:rPr>
        <w:t>Deleuze</w:t>
      </w:r>
      <w:proofErr w:type="spellEnd"/>
      <w:r>
        <w:rPr>
          <w:lang w:val="en-US"/>
        </w:rPr>
        <w:t>.</w:t>
      </w:r>
    </w:p>
    <w:p w:rsidR="0047333E" w:rsidRPr="00286CFD" w:rsidRDefault="0047333E" w:rsidP="0047333E">
      <w:pPr>
        <w:pStyle w:val="Default"/>
        <w:spacing w:line="360" w:lineRule="auto"/>
        <w:jc w:val="both"/>
        <w:rPr>
          <w:lang w:val="en-US"/>
        </w:rPr>
      </w:pPr>
      <w:r>
        <w:rPr>
          <w:lang w:val="en-US"/>
        </w:rPr>
        <w:t>This issue</w:t>
      </w:r>
      <w:r w:rsidRPr="00286CFD">
        <w:rPr>
          <w:lang w:val="en-US"/>
        </w:rPr>
        <w:t xml:space="preserve"> rises from the review </w:t>
      </w:r>
      <w:proofErr w:type="spellStart"/>
      <w:r w:rsidRPr="00286CFD">
        <w:rPr>
          <w:lang w:val="en-US"/>
        </w:rPr>
        <w:t>Deleuze</w:t>
      </w:r>
      <w:proofErr w:type="spellEnd"/>
      <w:r w:rsidRPr="00286CFD">
        <w:rPr>
          <w:lang w:val="en-US"/>
        </w:rPr>
        <w:t xml:space="preserve"> in 1954 devoted to </w:t>
      </w:r>
      <w:r w:rsidRPr="00286CFD">
        <w:rPr>
          <w:i/>
          <w:lang w:val="en-US"/>
        </w:rPr>
        <w:t>Logic and existence</w:t>
      </w:r>
      <w:r w:rsidRPr="00286CFD">
        <w:rPr>
          <w:lang w:val="en-US"/>
        </w:rPr>
        <w:t xml:space="preserve"> of Jean </w:t>
      </w:r>
      <w:proofErr w:type="spellStart"/>
      <w:r w:rsidRPr="00286CFD">
        <w:rPr>
          <w:lang w:val="en-US"/>
        </w:rPr>
        <w:t>Hyppolite</w:t>
      </w:r>
      <w:proofErr w:type="spellEnd"/>
      <w:r w:rsidRPr="00286CFD">
        <w:rPr>
          <w:lang w:val="en-US"/>
        </w:rPr>
        <w:t>: a text</w:t>
      </w:r>
      <w:r>
        <w:rPr>
          <w:lang w:val="en-US"/>
        </w:rPr>
        <w:t>, which attests</w:t>
      </w:r>
      <w:r w:rsidR="007B6A58">
        <w:rPr>
          <w:lang w:val="en-US"/>
        </w:rPr>
        <w:t xml:space="preserve"> </w:t>
      </w:r>
      <w:bookmarkStart w:id="0" w:name="_GoBack"/>
      <w:bookmarkEnd w:id="0"/>
      <w:r>
        <w:rPr>
          <w:lang w:val="en-US"/>
        </w:rPr>
        <w:t xml:space="preserve">one of the most important inspirations of the </w:t>
      </w:r>
      <w:proofErr w:type="spellStart"/>
      <w:r w:rsidRPr="00286CFD">
        <w:rPr>
          <w:lang w:val="en-US"/>
        </w:rPr>
        <w:t>Deleuzian</w:t>
      </w:r>
      <w:proofErr w:type="spellEnd"/>
      <w:r>
        <w:rPr>
          <w:lang w:val="en-US"/>
        </w:rPr>
        <w:t xml:space="preserve"> early writings.</w:t>
      </w:r>
    </w:p>
    <w:p w:rsidR="0047333E" w:rsidRPr="00286CFD" w:rsidRDefault="0047333E" w:rsidP="0047333E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286CFD">
        <w:rPr>
          <w:rFonts w:ascii="Times New Roman" w:hAnsi="Times New Roman" w:cs="Times New Roman"/>
          <w:sz w:val="24"/>
          <w:szCs w:val="24"/>
          <w:lang w:val="en-US"/>
        </w:rPr>
        <w:t>Hyppolite’s</w:t>
      </w:r>
      <w:proofErr w:type="spellEnd"/>
      <w:r w:rsidRPr="00286C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86CFD">
        <w:rPr>
          <w:rFonts w:ascii="Times New Roman" w:hAnsi="Times New Roman" w:cs="Times New Roman"/>
          <w:i/>
          <w:sz w:val="24"/>
          <w:szCs w:val="24"/>
          <w:lang w:val="en-US"/>
        </w:rPr>
        <w:t>Logic and existence</w:t>
      </w:r>
      <w:r w:rsidRPr="00286C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tackle</w:t>
      </w:r>
      <w:r w:rsidRPr="00286CFD">
        <w:rPr>
          <w:rFonts w:ascii="Times New Roman" w:hAnsi="Times New Roman" w:cs="Times New Roman"/>
          <w:sz w:val="24"/>
          <w:szCs w:val="24"/>
          <w:lang w:val="en-US"/>
        </w:rPr>
        <w:t xml:space="preserve">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relationship among </w:t>
      </w:r>
      <w:r w:rsidRPr="00286CFD">
        <w:rPr>
          <w:rFonts w:ascii="Times New Roman" w:hAnsi="Times New Roman" w:cs="Times New Roman"/>
          <w:i/>
          <w:sz w:val="24"/>
          <w:szCs w:val="24"/>
          <w:lang w:val="en-US"/>
        </w:rPr>
        <w:t>Phenomenology of Spirit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286C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86CFD">
        <w:rPr>
          <w:rFonts w:ascii="Times New Roman" w:hAnsi="Times New Roman" w:cs="Times New Roman"/>
          <w:i/>
          <w:sz w:val="24"/>
          <w:szCs w:val="24"/>
          <w:lang w:val="en-US"/>
        </w:rPr>
        <w:t xml:space="preserve">Science of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L</w:t>
      </w:r>
      <w:r w:rsidRPr="00286CFD">
        <w:rPr>
          <w:rFonts w:ascii="Times New Roman" w:hAnsi="Times New Roman" w:cs="Times New Roman"/>
          <w:i/>
          <w:sz w:val="24"/>
          <w:szCs w:val="24"/>
          <w:lang w:val="en-US"/>
        </w:rPr>
        <w:t>ogic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r w:rsidRPr="00286C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86CFD">
        <w:rPr>
          <w:rFonts w:ascii="Times New Roman" w:hAnsi="Times New Roman" w:cs="Times New Roman"/>
          <w:i/>
          <w:sz w:val="24"/>
          <w:szCs w:val="24"/>
          <w:lang w:val="en-US"/>
        </w:rPr>
        <w:t xml:space="preserve">Encyclopedia </w:t>
      </w:r>
      <w:r w:rsidRPr="00286CFD">
        <w:rPr>
          <w:rFonts w:ascii="Times New Roman" w:hAnsi="Times New Roman" w:cs="Times New Roman"/>
          <w:sz w:val="24"/>
          <w:szCs w:val="24"/>
          <w:lang w:val="en-US"/>
        </w:rPr>
        <w:t>of Hegel</w:t>
      </w:r>
      <w:r>
        <w:rPr>
          <w:rFonts w:ascii="Times New Roman" w:hAnsi="Times New Roman" w:cs="Times New Roman"/>
          <w:sz w:val="24"/>
          <w:szCs w:val="24"/>
          <w:lang w:val="en-US"/>
        </w:rPr>
        <w:t>, formulating a new r</w:t>
      </w:r>
      <w:r w:rsidRPr="00286CFD">
        <w:rPr>
          <w:rFonts w:ascii="Times New Roman" w:hAnsi="Times New Roman" w:cs="Times New Roman"/>
          <w:sz w:val="24"/>
          <w:szCs w:val="24"/>
          <w:lang w:val="en-US"/>
        </w:rPr>
        <w:t>e</w:t>
      </w:r>
      <w:r>
        <w:rPr>
          <w:rFonts w:ascii="Times New Roman" w:hAnsi="Times New Roman" w:cs="Times New Roman"/>
          <w:sz w:val="24"/>
          <w:szCs w:val="24"/>
          <w:lang w:val="en-US"/>
        </w:rPr>
        <w:t>ading of</w:t>
      </w:r>
      <w:r w:rsidRPr="00286C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286CFD">
        <w:rPr>
          <w:rFonts w:ascii="Times New Roman" w:hAnsi="Times New Roman" w:cs="Times New Roman"/>
          <w:sz w:val="24"/>
          <w:szCs w:val="24"/>
          <w:lang w:val="en-US"/>
        </w:rPr>
        <w:t xml:space="preserve">Hegelian thought. </w:t>
      </w:r>
      <w:r w:rsidRPr="00DE711A">
        <w:rPr>
          <w:rFonts w:ascii="Times New Roman" w:hAnsi="Times New Roman" w:cs="Times New Roman"/>
          <w:sz w:val="24"/>
          <w:szCs w:val="24"/>
          <w:lang w:val="en-US"/>
        </w:rPr>
        <w:t>In this work, the author consid</w:t>
      </w:r>
      <w:r>
        <w:rPr>
          <w:rFonts w:ascii="Times New Roman" w:hAnsi="Times New Roman" w:cs="Times New Roman"/>
          <w:sz w:val="24"/>
          <w:szCs w:val="24"/>
          <w:lang w:val="en-US"/>
        </w:rPr>
        <w:t>ers the relationship between</w:t>
      </w:r>
      <w:r w:rsidRPr="00DE71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DE711A">
        <w:rPr>
          <w:rFonts w:ascii="Times New Roman" w:hAnsi="Times New Roman" w:cs="Times New Roman"/>
          <w:i/>
          <w:sz w:val="24"/>
          <w:szCs w:val="24"/>
          <w:lang w:val="en-US"/>
        </w:rPr>
        <w:t xml:space="preserve">Science of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L</w:t>
      </w:r>
      <w:r w:rsidRPr="00DE711A">
        <w:rPr>
          <w:rFonts w:ascii="Times New Roman" w:hAnsi="Times New Roman" w:cs="Times New Roman"/>
          <w:i/>
          <w:sz w:val="24"/>
          <w:szCs w:val="24"/>
          <w:lang w:val="en-US"/>
        </w:rPr>
        <w:t>ogic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the</w:t>
      </w:r>
      <w:r w:rsidRPr="00DE71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Hegelian </w:t>
      </w:r>
      <w:r w:rsidRPr="00DE711A">
        <w:rPr>
          <w:rFonts w:ascii="Times New Roman" w:hAnsi="Times New Roman" w:cs="Times New Roman"/>
          <w:sz w:val="24"/>
          <w:szCs w:val="24"/>
          <w:lang w:val="en-US"/>
        </w:rPr>
        <w:t xml:space="preserve">notion of sense </w:t>
      </w:r>
      <w:r>
        <w:rPr>
          <w:rFonts w:ascii="Times New Roman" w:hAnsi="Times New Roman" w:cs="Times New Roman"/>
          <w:sz w:val="24"/>
          <w:szCs w:val="24"/>
          <w:lang w:val="en-US"/>
        </w:rPr>
        <w:t>in his</w:t>
      </w:r>
      <w:r w:rsidRPr="00DE711A">
        <w:rPr>
          <w:rFonts w:ascii="Times New Roman" w:hAnsi="Times New Roman" w:cs="Times New Roman"/>
          <w:spacing w:val="-3"/>
          <w:sz w:val="24"/>
          <w:szCs w:val="24"/>
          <w:lang w:val="en-US"/>
        </w:rPr>
        <w:t xml:space="preserve"> </w:t>
      </w:r>
      <w:r w:rsidRPr="00DE711A">
        <w:rPr>
          <w:rFonts w:ascii="Times New Roman" w:hAnsi="Times New Roman" w:cs="Times New Roman"/>
          <w:sz w:val="24"/>
          <w:szCs w:val="24"/>
          <w:lang w:val="en-US"/>
        </w:rPr>
        <w:t>double</w:t>
      </w:r>
      <w:r w:rsidRPr="00DE711A">
        <w:rPr>
          <w:rFonts w:ascii="Times New Roman" w:hAnsi="Times New Roman" w:cs="Times New Roman"/>
          <w:spacing w:val="-7"/>
          <w:sz w:val="24"/>
          <w:szCs w:val="24"/>
          <w:lang w:val="en-US"/>
        </w:rPr>
        <w:t xml:space="preserve"> </w:t>
      </w:r>
      <w:r w:rsidRPr="00DE711A">
        <w:rPr>
          <w:rFonts w:ascii="Times New Roman" w:hAnsi="Times New Roman" w:cs="Times New Roman"/>
          <w:sz w:val="24"/>
          <w:szCs w:val="24"/>
          <w:lang w:val="en-US"/>
        </w:rPr>
        <w:t>meaning</w:t>
      </w:r>
      <w:r w:rsidRPr="00DE711A">
        <w:rPr>
          <w:rFonts w:ascii="Times New Roman" w:hAnsi="Times New Roman" w:cs="Times New Roman"/>
          <w:spacing w:val="-8"/>
          <w:sz w:val="24"/>
          <w:szCs w:val="24"/>
          <w:lang w:val="en-US"/>
        </w:rPr>
        <w:t xml:space="preserve"> </w:t>
      </w:r>
      <w:r w:rsidRPr="00DE711A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Pr="00DE711A">
        <w:rPr>
          <w:rFonts w:ascii="Times New Roman" w:hAnsi="Times New Roman" w:cs="Times New Roman"/>
          <w:spacing w:val="-5"/>
          <w:sz w:val="24"/>
          <w:szCs w:val="24"/>
          <w:lang w:val="en-US"/>
        </w:rPr>
        <w:t xml:space="preserve"> </w:t>
      </w:r>
      <w:r w:rsidRPr="00DE711A">
        <w:rPr>
          <w:rFonts w:ascii="Times New Roman" w:hAnsi="Times New Roman" w:cs="Times New Roman"/>
          <w:spacing w:val="-1"/>
          <w:sz w:val="24"/>
          <w:szCs w:val="24"/>
          <w:lang w:val="en-US"/>
        </w:rPr>
        <w:t>significance</w:t>
      </w:r>
      <w:r w:rsidRPr="00DE711A">
        <w:rPr>
          <w:rFonts w:ascii="Times New Roman" w:hAnsi="Times New Roman" w:cs="Times New Roman"/>
          <w:spacing w:val="-6"/>
          <w:sz w:val="24"/>
          <w:szCs w:val="24"/>
          <w:lang w:val="en-US"/>
        </w:rPr>
        <w:t xml:space="preserve"> </w:t>
      </w:r>
      <w:r w:rsidRPr="00DE711A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Pr="00DE711A">
        <w:rPr>
          <w:rFonts w:ascii="Times New Roman" w:hAnsi="Times New Roman" w:cs="Times New Roman"/>
          <w:spacing w:val="-6"/>
          <w:sz w:val="24"/>
          <w:szCs w:val="24"/>
          <w:lang w:val="en-US"/>
        </w:rPr>
        <w:t xml:space="preserve"> </w:t>
      </w:r>
      <w:r w:rsidRPr="00DE711A">
        <w:rPr>
          <w:rFonts w:ascii="Times New Roman" w:hAnsi="Times New Roman" w:cs="Times New Roman"/>
          <w:sz w:val="24"/>
          <w:szCs w:val="24"/>
          <w:lang w:val="en-US"/>
        </w:rPr>
        <w:t>perceptual</w:t>
      </w:r>
      <w:r w:rsidRPr="00DE711A">
        <w:rPr>
          <w:rFonts w:ascii="Times New Roman" w:hAnsi="Times New Roman" w:cs="Times New Roman"/>
          <w:spacing w:val="-5"/>
          <w:sz w:val="24"/>
          <w:szCs w:val="24"/>
          <w:lang w:val="en-US"/>
        </w:rPr>
        <w:t xml:space="preserve"> </w:t>
      </w:r>
      <w:r w:rsidRPr="00DE711A">
        <w:rPr>
          <w:rFonts w:ascii="Times New Roman" w:hAnsi="Times New Roman" w:cs="Times New Roman"/>
          <w:spacing w:val="-1"/>
          <w:sz w:val="24"/>
          <w:szCs w:val="24"/>
          <w:lang w:val="en-US"/>
        </w:rPr>
        <w:t>apparatus</w:t>
      </w:r>
      <w:r w:rsidRPr="00DE711A">
        <w:rPr>
          <w:rStyle w:val="Rimandonotaapidipagina"/>
          <w:rFonts w:ascii="Times New Roman" w:hAnsi="Times New Roman" w:cs="Times New Roman"/>
          <w:spacing w:val="-1"/>
          <w:sz w:val="24"/>
          <w:szCs w:val="24"/>
          <w:lang w:val="en-US"/>
        </w:rPr>
        <w:footnoteReference w:id="1"/>
      </w:r>
      <w:r>
        <w:rPr>
          <w:rFonts w:ascii="Times New Roman" w:hAnsi="Times New Roman" w:cs="Times New Roman"/>
          <w:spacing w:val="-1"/>
          <w:sz w:val="24"/>
          <w:szCs w:val="24"/>
          <w:lang w:val="en-US"/>
        </w:rPr>
        <w:t xml:space="preserve">. This interpretation leads the author to state </w:t>
      </w:r>
      <w:proofErr w:type="gramStart"/>
      <w:r>
        <w:rPr>
          <w:rFonts w:ascii="Times New Roman" w:hAnsi="Times New Roman" w:cs="Times New Roman"/>
          <w:spacing w:val="-1"/>
          <w:sz w:val="24"/>
          <w:szCs w:val="24"/>
          <w:lang w:val="en-US"/>
        </w:rPr>
        <w:t>that</w:t>
      </w:r>
      <w:r w:rsidRPr="00DE711A">
        <w:rPr>
          <w:rFonts w:ascii="Times New Roman" w:hAnsi="Times New Roman" w:cs="Times New Roman"/>
          <w:sz w:val="24"/>
          <w:szCs w:val="24"/>
          <w:lang w:val="en-US"/>
        </w:rPr>
        <w:t>:</w:t>
      </w:r>
      <w:proofErr w:type="gramEnd"/>
      <w:r w:rsidRPr="00DE711A">
        <w:rPr>
          <w:rFonts w:ascii="Times New Roman" w:hAnsi="Times New Roman" w:cs="Times New Roman"/>
          <w:sz w:val="24"/>
          <w:szCs w:val="24"/>
          <w:lang w:val="en-US"/>
        </w:rPr>
        <w:t xml:space="preserve"> «Hegelian Logic is the absolute genesis of sense, a sense which, to itself, is its own sense, which is not opposed to the being whose sense it is, but which is sense and being simultaneously»</w:t>
      </w:r>
      <w:r w:rsidRPr="00DE711A">
        <w:rPr>
          <w:rStyle w:val="Rimandonotaapidipagina"/>
          <w:rFonts w:ascii="Times New Roman" w:hAnsi="Times New Roman" w:cs="Times New Roman"/>
          <w:sz w:val="24"/>
          <w:szCs w:val="24"/>
          <w:lang w:val="en-US"/>
        </w:rPr>
        <w:footnoteReference w:id="2"/>
      </w:r>
      <w:r w:rsidRPr="00DE711A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In </w:t>
      </w:r>
      <w:r w:rsidRPr="00DE711A">
        <w:rPr>
          <w:rFonts w:ascii="Times New Roman" w:hAnsi="Times New Roman" w:cs="Times New Roman"/>
          <w:i/>
          <w:sz w:val="24"/>
          <w:szCs w:val="24"/>
          <w:lang w:val="en-US"/>
        </w:rPr>
        <w:t xml:space="preserve">Logic and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E</w:t>
      </w:r>
      <w:r w:rsidRPr="00DE711A">
        <w:rPr>
          <w:rFonts w:ascii="Times New Roman" w:hAnsi="Times New Roman" w:cs="Times New Roman"/>
          <w:i/>
          <w:sz w:val="24"/>
          <w:szCs w:val="24"/>
          <w:lang w:val="en-US"/>
        </w:rPr>
        <w:t>xistence</w:t>
      </w:r>
      <w:r w:rsidRPr="00286CFD">
        <w:rPr>
          <w:rFonts w:ascii="Times New Roman" w:hAnsi="Times New Roman" w:cs="Times New Roman"/>
          <w:sz w:val="24"/>
          <w:szCs w:val="24"/>
          <w:lang w:val="en-US"/>
        </w:rPr>
        <w:t xml:space="preserve"> emerges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286CFD">
        <w:rPr>
          <w:rFonts w:ascii="Times New Roman" w:hAnsi="Times New Roman" w:cs="Times New Roman"/>
          <w:sz w:val="24"/>
          <w:szCs w:val="24"/>
          <w:lang w:val="en-US"/>
        </w:rPr>
        <w:t xml:space="preserve">an interpretation of the </w:t>
      </w:r>
      <w:r w:rsidRPr="00286CFD">
        <w:rPr>
          <w:rFonts w:ascii="Times New Roman" w:hAnsi="Times New Roman" w:cs="Times New Roman"/>
          <w:i/>
          <w:sz w:val="24"/>
          <w:szCs w:val="24"/>
          <w:lang w:val="en-US"/>
        </w:rPr>
        <w:t xml:space="preserve">Science of 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L</w:t>
      </w:r>
      <w:r w:rsidRPr="00286CFD">
        <w:rPr>
          <w:rFonts w:ascii="Times New Roman" w:hAnsi="Times New Roman" w:cs="Times New Roman"/>
          <w:i/>
          <w:sz w:val="24"/>
          <w:szCs w:val="24"/>
          <w:lang w:val="en-US"/>
        </w:rPr>
        <w:t>ogic</w:t>
      </w:r>
      <w:r w:rsidRPr="00286CFD">
        <w:rPr>
          <w:rFonts w:ascii="Times New Roman" w:hAnsi="Times New Roman" w:cs="Times New Roman"/>
          <w:sz w:val="24"/>
          <w:szCs w:val="24"/>
          <w:lang w:val="en-US"/>
        </w:rPr>
        <w:t xml:space="preserve"> as an ont</w:t>
      </w:r>
      <w:r>
        <w:rPr>
          <w:rFonts w:ascii="Times New Roman" w:hAnsi="Times New Roman" w:cs="Times New Roman"/>
          <w:sz w:val="24"/>
          <w:szCs w:val="24"/>
          <w:lang w:val="en-US"/>
        </w:rPr>
        <w:t>ology of sense, which grounds</w:t>
      </w:r>
      <w:r w:rsidRPr="00286CFD">
        <w:rPr>
          <w:rFonts w:ascii="Times New Roman" w:hAnsi="Times New Roman" w:cs="Times New Roman"/>
          <w:sz w:val="24"/>
          <w:szCs w:val="24"/>
          <w:lang w:val="en-US"/>
        </w:rPr>
        <w:t xml:space="preserve"> on the ascription of a linguistic connotation to Hegel’s notion of Absolute.</w:t>
      </w:r>
    </w:p>
    <w:p w:rsidR="0047333E" w:rsidRPr="00C717E6" w:rsidRDefault="0047333E" w:rsidP="0047333E">
      <w:pPr>
        <w:pStyle w:val="Default"/>
        <w:spacing w:line="360" w:lineRule="auto"/>
        <w:jc w:val="both"/>
        <w:rPr>
          <w:lang w:val="en-US"/>
        </w:rPr>
      </w:pPr>
      <w:r w:rsidRPr="00A2340B">
        <w:rPr>
          <w:lang w:val="en-US"/>
        </w:rPr>
        <w:t xml:space="preserve">In </w:t>
      </w:r>
      <w:r>
        <w:rPr>
          <w:lang w:val="en-US"/>
        </w:rPr>
        <w:t>the 1954 review</w:t>
      </w:r>
      <w:r w:rsidRPr="00A2340B">
        <w:rPr>
          <w:lang w:val="en-US"/>
        </w:rPr>
        <w:t>,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Deleuze</w:t>
      </w:r>
      <w:proofErr w:type="spellEnd"/>
      <w:r>
        <w:rPr>
          <w:lang w:val="en-US"/>
        </w:rPr>
        <w:t xml:space="preserve"> acknowledges that </w:t>
      </w:r>
      <w:proofErr w:type="spellStart"/>
      <w:r>
        <w:rPr>
          <w:lang w:val="en-US"/>
        </w:rPr>
        <w:t>Hyppolite’s</w:t>
      </w:r>
      <w:proofErr w:type="spellEnd"/>
      <w:r>
        <w:rPr>
          <w:lang w:val="en-US"/>
        </w:rPr>
        <w:t xml:space="preserve"> work lays out an insight on a new ontology, considering however the notion of contradiction as an unsuitable philosophical tool to deal with this field of research. </w:t>
      </w:r>
      <w:proofErr w:type="spellStart"/>
      <w:r>
        <w:rPr>
          <w:lang w:val="en-US"/>
        </w:rPr>
        <w:t>Deleuze</w:t>
      </w:r>
      <w:proofErr w:type="spellEnd"/>
      <w:r>
        <w:rPr>
          <w:lang w:val="en-US"/>
        </w:rPr>
        <w:t xml:space="preserve"> writes:</w:t>
      </w:r>
    </w:p>
    <w:p w:rsidR="0047333E" w:rsidRDefault="0047333E" w:rsidP="0047333E">
      <w:pPr>
        <w:pStyle w:val="Corpotesto"/>
        <w:spacing w:before="0" w:line="360" w:lineRule="auto"/>
        <w:ind w:left="0"/>
        <w:jc w:val="both"/>
        <w:rPr>
          <w:rFonts w:cs="Times New Roman"/>
        </w:rPr>
      </w:pPr>
      <w:r w:rsidRPr="00C717E6">
        <w:rPr>
          <w:rFonts w:cs="Times New Roman"/>
        </w:rPr>
        <w:t xml:space="preserve"> «</w:t>
      </w:r>
      <w:proofErr w:type="spellStart"/>
      <w:r w:rsidRPr="00C717E6">
        <w:rPr>
          <w:rFonts w:cs="Times New Roman"/>
        </w:rPr>
        <w:t>Hyppolite</w:t>
      </w:r>
      <w:r>
        <w:rPr>
          <w:rFonts w:cs="Times New Roman"/>
        </w:rPr>
        <w:t>’</w:t>
      </w:r>
      <w:r w:rsidRPr="00C717E6">
        <w:rPr>
          <w:rFonts w:cs="Times New Roman"/>
        </w:rPr>
        <w:t>s</w:t>
      </w:r>
      <w:proofErr w:type="spellEnd"/>
      <w:r w:rsidRPr="00C717E6">
        <w:rPr>
          <w:rFonts w:cs="Times New Roman"/>
        </w:rPr>
        <w:t xml:space="preserve"> conclusion remains open; it opens the way for an ontology. </w:t>
      </w:r>
      <w:proofErr w:type="gramStart"/>
      <w:r w:rsidRPr="00C717E6">
        <w:rPr>
          <w:rFonts w:cs="Times New Roman"/>
        </w:rPr>
        <w:t>But</w:t>
      </w:r>
      <w:proofErr w:type="gramEnd"/>
      <w:r w:rsidRPr="00C717E6">
        <w:rPr>
          <w:rFonts w:cs="Times New Roman"/>
        </w:rPr>
        <w:t xml:space="preserve"> I would only point out that the source of the difficulty, perhaps, was already in Logic itself. [...] there is one point in all this where </w:t>
      </w:r>
      <w:proofErr w:type="spellStart"/>
      <w:r w:rsidRPr="00C717E6">
        <w:rPr>
          <w:rFonts w:cs="Times New Roman"/>
        </w:rPr>
        <w:t>Hyppolite</w:t>
      </w:r>
      <w:proofErr w:type="spellEnd"/>
      <w:r w:rsidRPr="00C717E6">
        <w:rPr>
          <w:rFonts w:cs="Times New Roman"/>
        </w:rPr>
        <w:t xml:space="preserve"> shows his Hegelian bias: Being can be identical to difference only </w:t>
      </w:r>
      <w:proofErr w:type="gramStart"/>
      <w:r w:rsidRPr="00C717E6">
        <w:rPr>
          <w:rFonts w:cs="Times New Roman"/>
        </w:rPr>
        <w:t>in so</w:t>
      </w:r>
      <w:proofErr w:type="gramEnd"/>
      <w:r w:rsidRPr="00C717E6">
        <w:rPr>
          <w:rFonts w:cs="Times New Roman"/>
        </w:rPr>
        <w:t xml:space="preserve"> far as difference is taken to the absolute, in other words, all the way to contradiction […]. In the wake of this fruitful book by Jean </w:t>
      </w:r>
      <w:proofErr w:type="spellStart"/>
      <w:r w:rsidRPr="00C717E6">
        <w:rPr>
          <w:rFonts w:cs="Times New Roman"/>
        </w:rPr>
        <w:t>Hyppolite</w:t>
      </w:r>
      <w:proofErr w:type="spellEnd"/>
      <w:r w:rsidRPr="00C717E6">
        <w:rPr>
          <w:rFonts w:cs="Times New Roman"/>
        </w:rPr>
        <w:t>, one might ask whether an ontology of difference couldn</w:t>
      </w:r>
      <w:r>
        <w:rPr>
          <w:rFonts w:cs="Times New Roman"/>
        </w:rPr>
        <w:t>’</w:t>
      </w:r>
      <w:r w:rsidRPr="00C717E6">
        <w:rPr>
          <w:rFonts w:cs="Times New Roman"/>
        </w:rPr>
        <w:t>t be created that would not go all the way to contradiction, since contradiction would be less and not more than difference</w:t>
      </w:r>
      <w:proofErr w:type="gramStart"/>
      <w:r>
        <w:rPr>
          <w:rFonts w:cs="Times New Roman"/>
        </w:rPr>
        <w:t>.</w:t>
      </w:r>
      <w:r w:rsidRPr="00C717E6">
        <w:rPr>
          <w:rFonts w:cs="Times New Roman"/>
        </w:rPr>
        <w:t>»</w:t>
      </w:r>
      <w:proofErr w:type="gramEnd"/>
      <w:r w:rsidRPr="00C717E6">
        <w:rPr>
          <w:rStyle w:val="Rimandonotaapidipagina"/>
          <w:rFonts w:cs="Times New Roman"/>
        </w:rPr>
        <w:footnoteReference w:id="3"/>
      </w:r>
    </w:p>
    <w:p w:rsidR="0047333E" w:rsidRPr="00C717E6" w:rsidRDefault="0047333E" w:rsidP="0047333E">
      <w:pPr>
        <w:pStyle w:val="Corpotesto"/>
        <w:spacing w:before="0" w:line="360" w:lineRule="auto"/>
        <w:ind w:left="0"/>
        <w:jc w:val="both"/>
        <w:rPr>
          <w:rFonts w:cs="Times New Roman"/>
          <w:lang w:val="en-US"/>
        </w:rPr>
      </w:pPr>
      <w:r>
        <w:rPr>
          <w:rFonts w:cs="Times New Roman"/>
        </w:rPr>
        <w:t xml:space="preserve">Thus, </w:t>
      </w:r>
      <w:proofErr w:type="spellStart"/>
      <w:r>
        <w:rPr>
          <w:rFonts w:cs="Times New Roman"/>
        </w:rPr>
        <w:t>Deleuze</w:t>
      </w:r>
      <w:proofErr w:type="spellEnd"/>
      <w:r>
        <w:rPr>
          <w:rFonts w:cs="Times New Roman"/>
        </w:rPr>
        <w:t xml:space="preserve"> </w:t>
      </w:r>
      <w:r>
        <w:rPr>
          <w:lang w:val="en-US"/>
        </w:rPr>
        <w:t>criticizes</w:t>
      </w:r>
      <w:r w:rsidRPr="00A2340B">
        <w:rPr>
          <w:lang w:val="en-US"/>
        </w:rPr>
        <w:t xml:space="preserve"> the </w:t>
      </w:r>
      <w:r>
        <w:rPr>
          <w:lang w:val="en-US"/>
        </w:rPr>
        <w:t xml:space="preserve">dialectical nature of </w:t>
      </w:r>
      <w:r w:rsidRPr="00A2340B">
        <w:rPr>
          <w:lang w:val="en-US"/>
        </w:rPr>
        <w:t>difference</w:t>
      </w:r>
      <w:r>
        <w:rPr>
          <w:lang w:val="en-US"/>
        </w:rPr>
        <w:t xml:space="preserve"> in </w:t>
      </w:r>
      <w:r w:rsidRPr="00516EF1">
        <w:rPr>
          <w:i/>
          <w:lang w:val="en-US"/>
        </w:rPr>
        <w:t xml:space="preserve">Logic and </w:t>
      </w:r>
      <w:r>
        <w:rPr>
          <w:i/>
          <w:lang w:val="en-US"/>
        </w:rPr>
        <w:t>E</w:t>
      </w:r>
      <w:r w:rsidRPr="00516EF1">
        <w:rPr>
          <w:i/>
          <w:lang w:val="en-US"/>
        </w:rPr>
        <w:t>xistence</w:t>
      </w:r>
      <w:r>
        <w:rPr>
          <w:lang w:val="en-US"/>
        </w:rPr>
        <w:t xml:space="preserve"> and, in particular, its conversion into contradiction.</w:t>
      </w:r>
    </w:p>
    <w:p w:rsidR="0047333E" w:rsidRDefault="0047333E" w:rsidP="0047333E">
      <w:pPr>
        <w:pStyle w:val="Default"/>
        <w:spacing w:line="360" w:lineRule="auto"/>
        <w:jc w:val="both"/>
        <w:rPr>
          <w:lang w:val="en-US"/>
        </w:rPr>
      </w:pPr>
      <w:r>
        <w:rPr>
          <w:lang w:val="en-US"/>
        </w:rPr>
        <w:lastRenderedPageBreak/>
        <w:t>These</w:t>
      </w:r>
      <w:r w:rsidRPr="00A67D2D">
        <w:rPr>
          <w:lang w:val="en-US"/>
        </w:rPr>
        <w:t xml:space="preserve"> remarks</w:t>
      </w:r>
      <w:r w:rsidRPr="00A2340B">
        <w:rPr>
          <w:lang w:val="en-US"/>
        </w:rPr>
        <w:t xml:space="preserve"> </w:t>
      </w:r>
      <w:r>
        <w:rPr>
          <w:lang w:val="en-US"/>
        </w:rPr>
        <w:t>rise some new questions</w:t>
      </w:r>
      <w:r w:rsidRPr="00A2340B">
        <w:rPr>
          <w:lang w:val="en-US"/>
        </w:rPr>
        <w:t xml:space="preserve"> </w:t>
      </w:r>
      <w:r>
        <w:rPr>
          <w:lang w:val="en-US"/>
        </w:rPr>
        <w:t>concerning the notion of affirmation, difference and repetition, which are</w:t>
      </w:r>
      <w:r w:rsidRPr="00A2340B">
        <w:rPr>
          <w:lang w:val="en-US"/>
        </w:rPr>
        <w:t xml:space="preserve"> </w:t>
      </w:r>
      <w:r>
        <w:rPr>
          <w:lang w:val="en-US"/>
        </w:rPr>
        <w:t xml:space="preserve">the </w:t>
      </w:r>
      <w:r w:rsidRPr="00A2340B">
        <w:rPr>
          <w:lang w:val="en-US"/>
        </w:rPr>
        <w:t>bas</w:t>
      </w:r>
      <w:r>
        <w:rPr>
          <w:lang w:val="en-US"/>
        </w:rPr>
        <w:t>es</w:t>
      </w:r>
      <w:r w:rsidRPr="00A2340B">
        <w:rPr>
          <w:lang w:val="en-US"/>
        </w:rPr>
        <w:t xml:space="preserve"> </w:t>
      </w:r>
      <w:r>
        <w:rPr>
          <w:lang w:val="en-US"/>
        </w:rPr>
        <w:t>of</w:t>
      </w:r>
      <w:r w:rsidRPr="00A2340B">
        <w:rPr>
          <w:lang w:val="en-US"/>
        </w:rPr>
        <w:t xml:space="preserve"> the development</w:t>
      </w:r>
      <w:r>
        <w:rPr>
          <w:lang w:val="en-US"/>
        </w:rPr>
        <w:t xml:space="preserve"> of the </w:t>
      </w:r>
      <w:proofErr w:type="spellStart"/>
      <w:r>
        <w:rPr>
          <w:lang w:val="en-US"/>
        </w:rPr>
        <w:t>Deleuzian</w:t>
      </w:r>
      <w:proofErr w:type="spellEnd"/>
      <w:r w:rsidRPr="00A2340B">
        <w:rPr>
          <w:lang w:val="en-US"/>
        </w:rPr>
        <w:t xml:space="preserve"> thought and especially</w:t>
      </w:r>
      <w:r>
        <w:rPr>
          <w:lang w:val="en-US"/>
        </w:rPr>
        <w:t xml:space="preserve"> of the issue</w:t>
      </w:r>
      <w:r w:rsidRPr="006512A3">
        <w:rPr>
          <w:lang w:val="en-US"/>
        </w:rPr>
        <w:t xml:space="preserve"> </w:t>
      </w:r>
      <w:r>
        <w:rPr>
          <w:lang w:val="en-US"/>
        </w:rPr>
        <w:t>of the genesis of</w:t>
      </w:r>
      <w:r w:rsidRPr="008643DA">
        <w:rPr>
          <w:lang w:val="en-US"/>
        </w:rPr>
        <w:t xml:space="preserve"> sense</w:t>
      </w:r>
      <w:r w:rsidRPr="00A2340B">
        <w:rPr>
          <w:lang w:val="en-US"/>
        </w:rPr>
        <w:t xml:space="preserve">, which </w:t>
      </w:r>
      <w:r>
        <w:rPr>
          <w:lang w:val="en-US"/>
        </w:rPr>
        <w:t>the author faces</w:t>
      </w:r>
      <w:r w:rsidRPr="00A2340B">
        <w:rPr>
          <w:lang w:val="en-US"/>
        </w:rPr>
        <w:t xml:space="preserve"> in </w:t>
      </w:r>
      <w:r w:rsidRPr="00A2340B">
        <w:rPr>
          <w:i/>
          <w:lang w:val="en-US"/>
        </w:rPr>
        <w:t>Difference and Repetition</w:t>
      </w:r>
      <w:r>
        <w:rPr>
          <w:lang w:val="en-US"/>
        </w:rPr>
        <w:t xml:space="preserve"> </w:t>
      </w:r>
      <w:r w:rsidRPr="00A2340B">
        <w:rPr>
          <w:lang w:val="en-US"/>
        </w:rPr>
        <w:t xml:space="preserve">and </w:t>
      </w:r>
      <w:r>
        <w:rPr>
          <w:i/>
          <w:lang w:val="en-US"/>
        </w:rPr>
        <w:t>Logic of Sense</w:t>
      </w:r>
      <w:r w:rsidRPr="008643DA">
        <w:rPr>
          <w:lang w:val="en-US"/>
        </w:rPr>
        <w:t>.</w:t>
      </w:r>
    </w:p>
    <w:p w:rsidR="0047333E" w:rsidRDefault="0047333E" w:rsidP="0047333E">
      <w:pPr>
        <w:pStyle w:val="Default"/>
        <w:spacing w:line="360" w:lineRule="auto"/>
        <w:jc w:val="both"/>
        <w:rPr>
          <w:lang w:val="en-US"/>
        </w:rPr>
      </w:pPr>
      <w:r>
        <w:rPr>
          <w:lang w:val="en-US"/>
        </w:rPr>
        <w:t xml:space="preserve">The affirmation, the difference, and the repetition, therefore, turn out to be meaningful within </w:t>
      </w:r>
      <w:proofErr w:type="spellStart"/>
      <w:r>
        <w:rPr>
          <w:lang w:val="en-US"/>
        </w:rPr>
        <w:t>Deleuze’s</w:t>
      </w:r>
      <w:proofErr w:type="spellEnd"/>
      <w:r>
        <w:rPr>
          <w:lang w:val="en-US"/>
        </w:rPr>
        <w:t xml:space="preserve"> criticism to </w:t>
      </w:r>
      <w:proofErr w:type="spellStart"/>
      <w:r>
        <w:rPr>
          <w:lang w:val="en-US"/>
        </w:rPr>
        <w:t>Hyppolite</w:t>
      </w:r>
      <w:proofErr w:type="spellEnd"/>
      <w:r>
        <w:rPr>
          <w:lang w:val="en-US"/>
        </w:rPr>
        <w:t xml:space="preserve"> and Hegel, and the keys to understand his interest for the Spinozian thought in 1969 as the purpose to take a non-dialectical</w:t>
      </w:r>
      <w:r>
        <w:rPr>
          <w:rStyle w:val="Rimandonotaapidipagina"/>
          <w:lang w:val="en-US"/>
        </w:rPr>
        <w:footnoteReference w:id="4"/>
      </w:r>
      <w:r>
        <w:rPr>
          <w:lang w:val="en-US"/>
        </w:rPr>
        <w:t xml:space="preserve"> cue to develop a new ontology.</w:t>
      </w:r>
    </w:p>
    <w:p w:rsidR="0047333E" w:rsidRDefault="0047333E" w:rsidP="0047333E">
      <w:pPr>
        <w:pStyle w:val="Default"/>
        <w:spacing w:line="360" w:lineRule="auto"/>
        <w:jc w:val="both"/>
        <w:rPr>
          <w:lang w:val="en-US"/>
        </w:rPr>
      </w:pPr>
      <w:r>
        <w:rPr>
          <w:lang w:val="en-US"/>
        </w:rPr>
        <w:t xml:space="preserve">The aim of this paper hence consists  in outlining the concepts of affirmation, difference, and repetition and their role towards the genesis of sense, both in </w:t>
      </w:r>
      <w:proofErr w:type="spellStart"/>
      <w:r>
        <w:rPr>
          <w:lang w:val="en-US"/>
        </w:rPr>
        <w:t>Hyppolite’s</w:t>
      </w:r>
      <w:proofErr w:type="spellEnd"/>
      <w:r>
        <w:rPr>
          <w:lang w:val="en-US"/>
        </w:rPr>
        <w:t xml:space="preserve"> </w:t>
      </w:r>
      <w:r w:rsidRPr="00DE711A">
        <w:rPr>
          <w:i/>
          <w:lang w:val="en-US"/>
        </w:rPr>
        <w:t xml:space="preserve">Logic and </w:t>
      </w:r>
      <w:r>
        <w:rPr>
          <w:i/>
          <w:lang w:val="en-US"/>
        </w:rPr>
        <w:t>E</w:t>
      </w:r>
      <w:r w:rsidRPr="00DE711A">
        <w:rPr>
          <w:i/>
          <w:lang w:val="en-US"/>
        </w:rPr>
        <w:t>xistence</w:t>
      </w:r>
      <w:r>
        <w:rPr>
          <w:lang w:val="en-US"/>
        </w:rPr>
        <w:t xml:space="preserve"> and in 1968 and 1969 </w:t>
      </w:r>
      <w:proofErr w:type="spellStart"/>
      <w:r>
        <w:rPr>
          <w:lang w:val="en-US"/>
        </w:rPr>
        <w:t>Deleuzian</w:t>
      </w:r>
      <w:proofErr w:type="spellEnd"/>
      <w:r>
        <w:rPr>
          <w:lang w:val="en-US"/>
        </w:rPr>
        <w:t xml:space="preserve"> writings.</w:t>
      </w:r>
    </w:p>
    <w:p w:rsidR="0047333E" w:rsidRPr="00664BA6" w:rsidRDefault="0047333E" w:rsidP="0047333E">
      <w:pPr>
        <w:pStyle w:val="Default"/>
        <w:spacing w:line="360" w:lineRule="auto"/>
        <w:jc w:val="both"/>
        <w:rPr>
          <w:lang w:val="en-US"/>
        </w:rPr>
      </w:pPr>
      <w:r>
        <w:rPr>
          <w:lang w:val="en-US"/>
        </w:rPr>
        <w:t xml:space="preserve">In order to grasp these notions in </w:t>
      </w:r>
      <w:r w:rsidRPr="00577F80">
        <w:rPr>
          <w:i/>
          <w:lang w:val="en-US"/>
        </w:rPr>
        <w:t xml:space="preserve">Logic and </w:t>
      </w:r>
      <w:r>
        <w:rPr>
          <w:i/>
          <w:lang w:val="en-US"/>
        </w:rPr>
        <w:t>E</w:t>
      </w:r>
      <w:r w:rsidRPr="00577F80">
        <w:rPr>
          <w:i/>
          <w:lang w:val="en-US"/>
        </w:rPr>
        <w:t>xistence</w:t>
      </w:r>
      <w:r>
        <w:rPr>
          <w:lang w:val="en-US"/>
        </w:rPr>
        <w:t>, this study focuses mainly on the chapters ‘Philosophical Dialectic, Poetry and Mathematical Symbolism’, ‘Empirical Negation and Speculative Negation’, ‘Empirical Proposition and Speculative Proposition’ and ‘The Organization of the Logic: Being, Essence, Concept’. It</w:t>
      </w:r>
      <w:r w:rsidRPr="00664BA6">
        <w:rPr>
          <w:lang w:val="en-US"/>
        </w:rPr>
        <w:t xml:space="preserve"> delineates </w:t>
      </w:r>
      <w:r>
        <w:rPr>
          <w:lang w:val="en-US"/>
        </w:rPr>
        <w:t xml:space="preserve">then </w:t>
      </w:r>
      <w:r w:rsidRPr="00664BA6">
        <w:rPr>
          <w:lang w:val="en-US"/>
        </w:rPr>
        <w:t xml:space="preserve">the </w:t>
      </w:r>
      <w:proofErr w:type="spellStart"/>
      <w:r w:rsidRPr="00664BA6">
        <w:rPr>
          <w:lang w:val="en-US"/>
        </w:rPr>
        <w:t>Deleuzian</w:t>
      </w:r>
      <w:proofErr w:type="spellEnd"/>
      <w:r w:rsidRPr="00664BA6">
        <w:rPr>
          <w:lang w:val="en-US"/>
        </w:rPr>
        <w:t xml:space="preserve"> comprehension of these concepts</w:t>
      </w:r>
      <w:r>
        <w:rPr>
          <w:lang w:val="en-US"/>
        </w:rPr>
        <w:t xml:space="preserve"> in</w:t>
      </w:r>
      <w:r w:rsidRPr="00664BA6">
        <w:rPr>
          <w:lang w:val="en-US"/>
        </w:rPr>
        <w:t xml:space="preserve"> </w:t>
      </w:r>
      <w:r w:rsidRPr="00664BA6">
        <w:rPr>
          <w:i/>
          <w:lang w:val="en-US"/>
        </w:rPr>
        <w:t>Difference and Repetition</w:t>
      </w:r>
      <w:r w:rsidRPr="00664BA6">
        <w:rPr>
          <w:lang w:val="en-US"/>
        </w:rPr>
        <w:t xml:space="preserve"> focusing on the chapters ‘</w:t>
      </w:r>
      <w:r w:rsidRPr="00664BA6">
        <w:rPr>
          <w:color w:val="auto"/>
          <w:lang w:val="en-US"/>
        </w:rPr>
        <w:t>Difference in itself’, ‘Repetition for itself’, ‘</w:t>
      </w:r>
      <w:proofErr w:type="gramStart"/>
      <w:r w:rsidRPr="00664BA6">
        <w:rPr>
          <w:color w:val="auto"/>
          <w:lang w:val="en-US"/>
        </w:rPr>
        <w:t>The</w:t>
      </w:r>
      <w:proofErr w:type="gramEnd"/>
      <w:r w:rsidRPr="00664BA6">
        <w:rPr>
          <w:color w:val="auto"/>
          <w:lang w:val="en-US"/>
        </w:rPr>
        <w:t xml:space="preserve"> image of </w:t>
      </w:r>
      <w:r>
        <w:rPr>
          <w:color w:val="auto"/>
          <w:lang w:val="en-US"/>
        </w:rPr>
        <w:t>T</w:t>
      </w:r>
      <w:r w:rsidRPr="00664BA6">
        <w:rPr>
          <w:color w:val="auto"/>
          <w:lang w:val="en-US"/>
        </w:rPr>
        <w:t>hought’</w:t>
      </w:r>
      <w:r>
        <w:rPr>
          <w:color w:val="auto"/>
          <w:lang w:val="en-US"/>
        </w:rPr>
        <w:t xml:space="preserve"> and ‘Asymmetrical Synthesis of Sensible’</w:t>
      </w:r>
      <w:r w:rsidRPr="00664BA6">
        <w:rPr>
          <w:lang w:val="en-US"/>
        </w:rPr>
        <w:t xml:space="preserve">. Moreover,  deepens </w:t>
      </w:r>
      <w:r>
        <w:rPr>
          <w:i/>
          <w:lang w:val="en-US"/>
        </w:rPr>
        <w:t>‘</w:t>
      </w:r>
      <w:r w:rsidRPr="00664BA6">
        <w:rPr>
          <w:color w:val="auto"/>
          <w:lang w:val="en-US"/>
        </w:rPr>
        <w:t xml:space="preserve">Fifth </w:t>
      </w:r>
      <w:r>
        <w:rPr>
          <w:color w:val="auto"/>
          <w:lang w:val="en-US"/>
        </w:rPr>
        <w:t>S</w:t>
      </w:r>
      <w:r w:rsidRPr="00664BA6">
        <w:rPr>
          <w:color w:val="auto"/>
          <w:lang w:val="en-US"/>
        </w:rPr>
        <w:t xml:space="preserve">eries of </w:t>
      </w:r>
      <w:r>
        <w:rPr>
          <w:color w:val="auto"/>
          <w:lang w:val="en-US"/>
        </w:rPr>
        <w:t>S</w:t>
      </w:r>
      <w:r w:rsidRPr="00664BA6">
        <w:rPr>
          <w:color w:val="auto"/>
          <w:lang w:val="en-US"/>
        </w:rPr>
        <w:t xml:space="preserve">ense’, ‘Ninth </w:t>
      </w:r>
      <w:r>
        <w:rPr>
          <w:color w:val="auto"/>
          <w:lang w:val="en-US"/>
        </w:rPr>
        <w:t>S</w:t>
      </w:r>
      <w:r w:rsidRPr="00664BA6">
        <w:rPr>
          <w:color w:val="auto"/>
          <w:lang w:val="en-US"/>
        </w:rPr>
        <w:t xml:space="preserve">eries of the </w:t>
      </w:r>
      <w:r>
        <w:rPr>
          <w:color w:val="auto"/>
          <w:lang w:val="en-US"/>
        </w:rPr>
        <w:t>P</w:t>
      </w:r>
      <w:r w:rsidRPr="00664BA6">
        <w:rPr>
          <w:color w:val="auto"/>
          <w:lang w:val="en-US"/>
        </w:rPr>
        <w:t xml:space="preserve">roblematic’, ‘Eleventh </w:t>
      </w:r>
      <w:r>
        <w:rPr>
          <w:color w:val="auto"/>
          <w:lang w:val="en-US"/>
        </w:rPr>
        <w:t>S</w:t>
      </w:r>
      <w:r w:rsidRPr="00664BA6">
        <w:rPr>
          <w:color w:val="auto"/>
          <w:lang w:val="en-US"/>
        </w:rPr>
        <w:t xml:space="preserve">eries on </w:t>
      </w:r>
      <w:r>
        <w:rPr>
          <w:color w:val="auto"/>
          <w:lang w:val="en-US"/>
        </w:rPr>
        <w:t>N</w:t>
      </w:r>
      <w:r w:rsidRPr="00664BA6">
        <w:rPr>
          <w:color w:val="auto"/>
          <w:lang w:val="en-US"/>
        </w:rPr>
        <w:t xml:space="preserve">onsense’, ‘Sixteenth </w:t>
      </w:r>
      <w:r>
        <w:rPr>
          <w:color w:val="auto"/>
          <w:lang w:val="en-US"/>
        </w:rPr>
        <w:t>S</w:t>
      </w:r>
      <w:r w:rsidRPr="00664BA6">
        <w:rPr>
          <w:color w:val="auto"/>
          <w:lang w:val="en-US"/>
        </w:rPr>
        <w:t xml:space="preserve">eries of </w:t>
      </w:r>
      <w:r>
        <w:rPr>
          <w:color w:val="auto"/>
          <w:lang w:val="en-US"/>
        </w:rPr>
        <w:t>S</w:t>
      </w:r>
      <w:r w:rsidRPr="00664BA6">
        <w:rPr>
          <w:color w:val="auto"/>
          <w:lang w:val="en-US"/>
        </w:rPr>
        <w:t xml:space="preserve">tatic </w:t>
      </w:r>
      <w:r>
        <w:rPr>
          <w:color w:val="auto"/>
          <w:lang w:val="en-US"/>
        </w:rPr>
        <w:t>O</w:t>
      </w:r>
      <w:r w:rsidRPr="00664BA6">
        <w:rPr>
          <w:color w:val="auto"/>
          <w:lang w:val="en-US"/>
        </w:rPr>
        <w:t xml:space="preserve">ntological </w:t>
      </w:r>
      <w:r>
        <w:rPr>
          <w:color w:val="auto"/>
          <w:lang w:val="en-US"/>
        </w:rPr>
        <w:t>G</w:t>
      </w:r>
      <w:r w:rsidRPr="00664BA6">
        <w:rPr>
          <w:color w:val="auto"/>
          <w:lang w:val="en-US"/>
        </w:rPr>
        <w:t xml:space="preserve">enesis’, ‘Seventeenth </w:t>
      </w:r>
      <w:r>
        <w:rPr>
          <w:color w:val="auto"/>
          <w:lang w:val="en-US"/>
        </w:rPr>
        <w:t>S</w:t>
      </w:r>
      <w:r w:rsidRPr="00664BA6">
        <w:rPr>
          <w:color w:val="auto"/>
          <w:lang w:val="en-US"/>
        </w:rPr>
        <w:t xml:space="preserve">eries of </w:t>
      </w:r>
      <w:r>
        <w:rPr>
          <w:color w:val="auto"/>
          <w:lang w:val="en-US"/>
        </w:rPr>
        <w:t>S</w:t>
      </w:r>
      <w:r w:rsidRPr="00664BA6">
        <w:rPr>
          <w:color w:val="auto"/>
          <w:lang w:val="en-US"/>
        </w:rPr>
        <w:t xml:space="preserve">tatic </w:t>
      </w:r>
      <w:r>
        <w:rPr>
          <w:color w:val="auto"/>
          <w:lang w:val="en-US"/>
        </w:rPr>
        <w:t>L</w:t>
      </w:r>
      <w:r w:rsidRPr="00664BA6">
        <w:rPr>
          <w:color w:val="auto"/>
          <w:lang w:val="en-US"/>
        </w:rPr>
        <w:t xml:space="preserve">ogical </w:t>
      </w:r>
      <w:r>
        <w:rPr>
          <w:color w:val="auto"/>
          <w:lang w:val="en-US"/>
        </w:rPr>
        <w:t>G</w:t>
      </w:r>
      <w:r w:rsidRPr="00664BA6">
        <w:rPr>
          <w:color w:val="auto"/>
          <w:lang w:val="en-US"/>
        </w:rPr>
        <w:t xml:space="preserve">enesis’, ‘Twenty-first </w:t>
      </w:r>
      <w:r>
        <w:rPr>
          <w:color w:val="auto"/>
          <w:lang w:val="en-US"/>
        </w:rPr>
        <w:t>S</w:t>
      </w:r>
      <w:r w:rsidRPr="00664BA6">
        <w:rPr>
          <w:color w:val="auto"/>
          <w:lang w:val="en-US"/>
        </w:rPr>
        <w:t xml:space="preserve">eries of the </w:t>
      </w:r>
      <w:r>
        <w:rPr>
          <w:color w:val="auto"/>
          <w:lang w:val="en-US"/>
        </w:rPr>
        <w:t>E</w:t>
      </w:r>
      <w:r w:rsidRPr="00664BA6">
        <w:rPr>
          <w:color w:val="auto"/>
          <w:lang w:val="en-US"/>
        </w:rPr>
        <w:t xml:space="preserve">vent’ and the appendix ‘The </w:t>
      </w:r>
      <w:r>
        <w:rPr>
          <w:color w:val="auto"/>
          <w:lang w:val="en-US"/>
        </w:rPr>
        <w:t>S</w:t>
      </w:r>
      <w:r w:rsidRPr="00664BA6">
        <w:rPr>
          <w:color w:val="auto"/>
          <w:lang w:val="en-US"/>
        </w:rPr>
        <w:t>im</w:t>
      </w:r>
      <w:r>
        <w:rPr>
          <w:lang w:val="en-US"/>
        </w:rPr>
        <w:t>ulacrum and Ancient Philosophy’ of</w:t>
      </w:r>
      <w:r w:rsidRPr="00664BA6">
        <w:rPr>
          <w:lang w:val="en-US"/>
        </w:rPr>
        <w:t xml:space="preserve"> </w:t>
      </w:r>
      <w:r w:rsidRPr="00664BA6">
        <w:rPr>
          <w:i/>
          <w:lang w:val="en-US"/>
        </w:rPr>
        <w:t xml:space="preserve">Logic of </w:t>
      </w:r>
      <w:r>
        <w:rPr>
          <w:i/>
          <w:lang w:val="en-US"/>
        </w:rPr>
        <w:t>S</w:t>
      </w:r>
      <w:r w:rsidRPr="00664BA6">
        <w:rPr>
          <w:i/>
          <w:lang w:val="en-US"/>
        </w:rPr>
        <w:t>ense</w:t>
      </w:r>
      <w:r w:rsidRPr="00664BA6">
        <w:rPr>
          <w:lang w:val="en-US"/>
        </w:rPr>
        <w:t>.</w:t>
      </w:r>
    </w:p>
    <w:p w:rsidR="0047333E" w:rsidRDefault="0047333E" w:rsidP="0047333E">
      <w:pPr>
        <w:pStyle w:val="Default"/>
        <w:spacing w:line="360" w:lineRule="auto"/>
        <w:jc w:val="both"/>
        <w:rPr>
          <w:lang w:val="en-US"/>
        </w:rPr>
      </w:pPr>
      <w:r>
        <w:rPr>
          <w:lang w:val="en-US"/>
        </w:rPr>
        <w:t xml:space="preserve">The paper aims to demonstrate through the concepts of affirmation, difference, and repetition how </w:t>
      </w:r>
      <w:proofErr w:type="spellStart"/>
      <w:r>
        <w:rPr>
          <w:lang w:val="en-US"/>
        </w:rPr>
        <w:t>Deleuze</w:t>
      </w:r>
      <w:proofErr w:type="spellEnd"/>
      <w:r>
        <w:rPr>
          <w:lang w:val="en-US"/>
        </w:rPr>
        <w:t xml:space="preserve">, inspired by Spinoza and in discussing </w:t>
      </w:r>
      <w:proofErr w:type="spellStart"/>
      <w:r>
        <w:rPr>
          <w:lang w:val="en-US"/>
        </w:rPr>
        <w:t>Hyppolite</w:t>
      </w:r>
      <w:proofErr w:type="spellEnd"/>
      <w:r>
        <w:rPr>
          <w:lang w:val="en-US"/>
        </w:rPr>
        <w:t xml:space="preserve"> and Hegel, develops a non-dialectical insight on sense and its genesis.</w:t>
      </w:r>
    </w:p>
    <w:p w:rsidR="008410CD" w:rsidRPr="0047333E" w:rsidRDefault="008410CD">
      <w:pPr>
        <w:rPr>
          <w:lang w:val="en-US"/>
        </w:rPr>
      </w:pPr>
    </w:p>
    <w:sectPr w:rsidR="008410CD" w:rsidRPr="0047333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D5D" w:rsidRDefault="009B0D5D" w:rsidP="0047333E">
      <w:pPr>
        <w:spacing w:line="240" w:lineRule="auto"/>
      </w:pPr>
      <w:r>
        <w:separator/>
      </w:r>
    </w:p>
  </w:endnote>
  <w:endnote w:type="continuationSeparator" w:id="0">
    <w:p w:rsidR="009B0D5D" w:rsidRDefault="009B0D5D" w:rsidP="0047333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D5D" w:rsidRDefault="009B0D5D" w:rsidP="0047333E">
      <w:pPr>
        <w:spacing w:line="240" w:lineRule="auto"/>
      </w:pPr>
      <w:r>
        <w:separator/>
      </w:r>
    </w:p>
  </w:footnote>
  <w:footnote w:type="continuationSeparator" w:id="0">
    <w:p w:rsidR="009B0D5D" w:rsidRDefault="009B0D5D" w:rsidP="0047333E">
      <w:pPr>
        <w:spacing w:line="240" w:lineRule="auto"/>
      </w:pPr>
      <w:r>
        <w:continuationSeparator/>
      </w:r>
    </w:p>
  </w:footnote>
  <w:footnote w:id="1">
    <w:p w:rsidR="0047333E" w:rsidRPr="00990368" w:rsidRDefault="0047333E" w:rsidP="0047333E">
      <w:pPr>
        <w:pStyle w:val="Default"/>
        <w:jc w:val="both"/>
        <w:rPr>
          <w:sz w:val="20"/>
          <w:szCs w:val="20"/>
          <w:lang w:val="en-US"/>
        </w:rPr>
      </w:pPr>
      <w:r>
        <w:rPr>
          <w:rStyle w:val="Rimandonotaapidipagina"/>
        </w:rPr>
        <w:footnoteRef/>
      </w:r>
      <w:r w:rsidRPr="00990368">
        <w:rPr>
          <w:lang w:val="en-US"/>
        </w:rPr>
        <w:t xml:space="preserve"> </w:t>
      </w:r>
      <w:r w:rsidRPr="00C717E6">
        <w:rPr>
          <w:sz w:val="20"/>
          <w:szCs w:val="20"/>
          <w:lang w:val="en-US"/>
        </w:rPr>
        <w:t xml:space="preserve">Jean </w:t>
      </w:r>
      <w:proofErr w:type="spellStart"/>
      <w:r w:rsidRPr="00C717E6">
        <w:rPr>
          <w:sz w:val="20"/>
          <w:szCs w:val="20"/>
          <w:lang w:val="en-US"/>
        </w:rPr>
        <w:t>Hyppolite</w:t>
      </w:r>
      <w:proofErr w:type="spellEnd"/>
      <w:r w:rsidRPr="00C717E6">
        <w:rPr>
          <w:sz w:val="20"/>
          <w:szCs w:val="20"/>
          <w:lang w:val="en-US"/>
        </w:rPr>
        <w:t xml:space="preserve">, </w:t>
      </w:r>
      <w:r w:rsidRPr="00C717E6">
        <w:rPr>
          <w:i/>
          <w:sz w:val="20"/>
          <w:szCs w:val="20"/>
          <w:lang w:val="en-US"/>
        </w:rPr>
        <w:t>Logic and</w:t>
      </w:r>
      <w:r>
        <w:rPr>
          <w:i/>
          <w:sz w:val="20"/>
          <w:szCs w:val="20"/>
          <w:lang w:val="en-US"/>
        </w:rPr>
        <w:t xml:space="preserve"> E</w:t>
      </w:r>
      <w:r w:rsidRPr="00C717E6">
        <w:rPr>
          <w:i/>
          <w:sz w:val="20"/>
          <w:szCs w:val="20"/>
          <w:lang w:val="en-US"/>
        </w:rPr>
        <w:t>xistence</w:t>
      </w:r>
      <w:r>
        <w:rPr>
          <w:sz w:val="20"/>
          <w:szCs w:val="20"/>
          <w:lang w:val="en-US"/>
        </w:rPr>
        <w:t xml:space="preserve">, </w:t>
      </w:r>
      <w:proofErr w:type="spellStart"/>
      <w:r>
        <w:rPr>
          <w:sz w:val="20"/>
          <w:szCs w:val="20"/>
          <w:lang w:val="en-US"/>
        </w:rPr>
        <w:t>Engl.</w:t>
      </w:r>
      <w:r w:rsidRPr="00C717E6">
        <w:rPr>
          <w:sz w:val="20"/>
          <w:szCs w:val="20"/>
          <w:lang w:val="en-US"/>
        </w:rPr>
        <w:t>trans</w:t>
      </w:r>
      <w:proofErr w:type="spellEnd"/>
      <w:r w:rsidRPr="00C717E6">
        <w:rPr>
          <w:sz w:val="20"/>
          <w:szCs w:val="20"/>
          <w:lang w:val="en-US"/>
        </w:rPr>
        <w:t xml:space="preserve">. </w:t>
      </w:r>
      <w:proofErr w:type="gramStart"/>
      <w:r>
        <w:rPr>
          <w:sz w:val="20"/>
          <w:szCs w:val="20"/>
          <w:lang w:val="en-US"/>
        </w:rPr>
        <w:t>by</w:t>
      </w:r>
      <w:proofErr w:type="gramEnd"/>
      <w:r>
        <w:rPr>
          <w:sz w:val="20"/>
          <w:szCs w:val="20"/>
          <w:lang w:val="en-US"/>
        </w:rPr>
        <w:t xml:space="preserve"> </w:t>
      </w:r>
      <w:r w:rsidRPr="00C717E6">
        <w:rPr>
          <w:sz w:val="20"/>
          <w:szCs w:val="20"/>
          <w:lang w:val="en-US"/>
        </w:rPr>
        <w:t>Leonard Lawlor and Amit Sen</w:t>
      </w:r>
      <w:r>
        <w:rPr>
          <w:sz w:val="20"/>
          <w:szCs w:val="20"/>
          <w:lang w:val="en-US"/>
        </w:rPr>
        <w:t>,</w:t>
      </w:r>
      <w:r w:rsidRPr="00C717E6">
        <w:rPr>
          <w:sz w:val="20"/>
          <w:szCs w:val="20"/>
          <w:lang w:val="en-US"/>
        </w:rPr>
        <w:t xml:space="preserve"> State University of New York Press </w:t>
      </w:r>
      <w:r>
        <w:rPr>
          <w:sz w:val="20"/>
          <w:szCs w:val="20"/>
          <w:lang w:val="en-US"/>
        </w:rPr>
        <w:t xml:space="preserve">New York, </w:t>
      </w:r>
      <w:r w:rsidRPr="00C717E6">
        <w:rPr>
          <w:sz w:val="20"/>
          <w:szCs w:val="20"/>
          <w:lang w:val="en-US"/>
        </w:rPr>
        <w:t>1997</w:t>
      </w:r>
      <w:r>
        <w:rPr>
          <w:sz w:val="20"/>
          <w:szCs w:val="20"/>
          <w:lang w:val="en-US"/>
        </w:rPr>
        <w:t xml:space="preserve">, p. </w:t>
      </w:r>
      <w:r w:rsidRPr="00C717E6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24.</w:t>
      </w:r>
    </w:p>
  </w:footnote>
  <w:footnote w:id="2">
    <w:p w:rsidR="0047333E" w:rsidRPr="00C717E6" w:rsidRDefault="0047333E" w:rsidP="0047333E">
      <w:pPr>
        <w:pStyle w:val="Default"/>
        <w:jc w:val="both"/>
        <w:rPr>
          <w:sz w:val="20"/>
          <w:szCs w:val="20"/>
          <w:lang w:val="en-US"/>
        </w:rPr>
      </w:pPr>
      <w:r w:rsidRPr="00C717E6">
        <w:rPr>
          <w:rStyle w:val="Rimandonotaapidipagina"/>
          <w:sz w:val="20"/>
          <w:szCs w:val="20"/>
        </w:rPr>
        <w:footnoteRef/>
      </w:r>
      <w:r w:rsidRPr="00C717E6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 xml:space="preserve">Ibid, p. </w:t>
      </w:r>
      <w:r w:rsidRPr="00C717E6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161.</w:t>
      </w:r>
    </w:p>
  </w:footnote>
  <w:footnote w:id="3">
    <w:p w:rsidR="0047333E" w:rsidRPr="002339B1" w:rsidRDefault="0047333E" w:rsidP="0047333E">
      <w:pPr>
        <w:pStyle w:val="Default"/>
        <w:jc w:val="both"/>
        <w:rPr>
          <w:sz w:val="20"/>
          <w:szCs w:val="20"/>
          <w:lang w:val="en-US"/>
        </w:rPr>
      </w:pPr>
      <w:r w:rsidRPr="002339B1">
        <w:rPr>
          <w:rStyle w:val="Rimandonotaapidipagina"/>
          <w:sz w:val="20"/>
          <w:szCs w:val="20"/>
        </w:rPr>
        <w:footnoteRef/>
      </w:r>
      <w:r w:rsidRPr="002339B1">
        <w:rPr>
          <w:sz w:val="20"/>
          <w:szCs w:val="20"/>
          <w:lang w:val="en-US"/>
        </w:rPr>
        <w:t xml:space="preserve"> </w:t>
      </w:r>
      <w:proofErr w:type="spellStart"/>
      <w:r w:rsidRPr="002339B1">
        <w:rPr>
          <w:sz w:val="20"/>
          <w:szCs w:val="20"/>
          <w:lang w:val="en-US"/>
        </w:rPr>
        <w:t>Deleuze</w:t>
      </w:r>
      <w:proofErr w:type="spellEnd"/>
      <w:r w:rsidRPr="002339B1">
        <w:rPr>
          <w:sz w:val="20"/>
          <w:szCs w:val="20"/>
          <w:lang w:val="en-US"/>
        </w:rPr>
        <w:t xml:space="preserve">, Gilles, </w:t>
      </w:r>
      <w:r w:rsidRPr="002339B1">
        <w:rPr>
          <w:i/>
          <w:sz w:val="20"/>
          <w:szCs w:val="20"/>
          <w:lang w:val="en-US"/>
        </w:rPr>
        <w:t>Desert Islands and Other Texts</w:t>
      </w:r>
      <w:r w:rsidRPr="002339B1">
        <w:rPr>
          <w:sz w:val="20"/>
          <w:szCs w:val="20"/>
          <w:lang w:val="en-US"/>
        </w:rPr>
        <w:t xml:space="preserve"> </w:t>
      </w:r>
      <w:r w:rsidRPr="002339B1">
        <w:rPr>
          <w:i/>
          <w:sz w:val="20"/>
          <w:szCs w:val="20"/>
          <w:lang w:val="en-US"/>
        </w:rPr>
        <w:t>1953-1974</w:t>
      </w:r>
      <w:r w:rsidRPr="002339B1">
        <w:rPr>
          <w:sz w:val="20"/>
          <w:szCs w:val="20"/>
          <w:lang w:val="en-US"/>
        </w:rPr>
        <w:t xml:space="preserve">, </w:t>
      </w:r>
      <w:proofErr w:type="spellStart"/>
      <w:r>
        <w:rPr>
          <w:sz w:val="20"/>
          <w:szCs w:val="20"/>
          <w:lang w:val="en-US"/>
        </w:rPr>
        <w:t>Engl.</w:t>
      </w:r>
      <w:r w:rsidRPr="00C717E6">
        <w:rPr>
          <w:sz w:val="20"/>
          <w:szCs w:val="20"/>
          <w:lang w:val="en-US"/>
        </w:rPr>
        <w:t>trans</w:t>
      </w:r>
      <w:proofErr w:type="spellEnd"/>
      <w:r w:rsidRPr="00C717E6">
        <w:rPr>
          <w:sz w:val="20"/>
          <w:szCs w:val="20"/>
          <w:lang w:val="en-US"/>
        </w:rPr>
        <w:t xml:space="preserve">. </w:t>
      </w:r>
      <w:proofErr w:type="gramStart"/>
      <w:r>
        <w:rPr>
          <w:sz w:val="20"/>
          <w:szCs w:val="20"/>
          <w:lang w:val="en-US"/>
        </w:rPr>
        <w:t>by</w:t>
      </w:r>
      <w:proofErr w:type="gramEnd"/>
      <w:r w:rsidRPr="002339B1">
        <w:rPr>
          <w:sz w:val="20"/>
          <w:szCs w:val="20"/>
          <w:lang w:val="en-US"/>
        </w:rPr>
        <w:t xml:space="preserve"> Michael Taormina, ed. </w:t>
      </w:r>
      <w:r>
        <w:rPr>
          <w:sz w:val="20"/>
          <w:szCs w:val="20"/>
          <w:lang w:val="en-US"/>
        </w:rPr>
        <w:t>b</w:t>
      </w:r>
      <w:r w:rsidRPr="002339B1">
        <w:rPr>
          <w:sz w:val="20"/>
          <w:szCs w:val="20"/>
          <w:lang w:val="en-US"/>
        </w:rPr>
        <w:t xml:space="preserve">y David </w:t>
      </w:r>
      <w:proofErr w:type="spellStart"/>
      <w:r w:rsidRPr="002339B1">
        <w:rPr>
          <w:sz w:val="20"/>
          <w:szCs w:val="20"/>
          <w:lang w:val="en-US"/>
        </w:rPr>
        <w:t>Lapoujade</w:t>
      </w:r>
      <w:proofErr w:type="spellEnd"/>
      <w:r w:rsidRPr="002339B1">
        <w:rPr>
          <w:sz w:val="20"/>
          <w:szCs w:val="20"/>
          <w:lang w:val="en-US"/>
        </w:rPr>
        <w:t xml:space="preserve">, </w:t>
      </w:r>
      <w:proofErr w:type="spellStart"/>
      <w:r w:rsidRPr="002339B1">
        <w:rPr>
          <w:sz w:val="20"/>
          <w:szCs w:val="20"/>
          <w:lang w:val="en-US"/>
        </w:rPr>
        <w:t>Semiotext</w:t>
      </w:r>
      <w:proofErr w:type="spellEnd"/>
      <w:r w:rsidRPr="002339B1">
        <w:rPr>
          <w:sz w:val="20"/>
          <w:szCs w:val="20"/>
          <w:lang w:val="en-US"/>
        </w:rPr>
        <w:t>(e), New York 2002, p. 18</w:t>
      </w:r>
      <w:r>
        <w:rPr>
          <w:sz w:val="20"/>
          <w:szCs w:val="20"/>
          <w:lang w:val="en-US"/>
        </w:rPr>
        <w:t>.</w:t>
      </w:r>
    </w:p>
    <w:p w:rsidR="0047333E" w:rsidRPr="002339B1" w:rsidRDefault="0047333E" w:rsidP="0047333E">
      <w:pPr>
        <w:pStyle w:val="Testonotaapidipagina"/>
        <w:rPr>
          <w:lang w:val="en-US"/>
        </w:rPr>
      </w:pPr>
    </w:p>
  </w:footnote>
  <w:footnote w:id="4">
    <w:p w:rsidR="0047333E" w:rsidRPr="00171CF8" w:rsidRDefault="0047333E" w:rsidP="0047333E">
      <w:pPr>
        <w:pStyle w:val="Testonotaapidipagina"/>
        <w:ind w:firstLine="0"/>
        <w:rPr>
          <w:rFonts w:ascii="Times New Roman" w:hAnsi="Times New Roman" w:cs="Times New Roman"/>
          <w:lang w:val="en-US"/>
        </w:rPr>
      </w:pPr>
      <w:r w:rsidRPr="00171CF8">
        <w:rPr>
          <w:rStyle w:val="Rimandonotaapidipagina"/>
          <w:rFonts w:ascii="Times New Roman" w:hAnsi="Times New Roman" w:cs="Times New Roman"/>
        </w:rPr>
        <w:footnoteRef/>
      </w:r>
      <w:r w:rsidRPr="00171CF8">
        <w:rPr>
          <w:rFonts w:ascii="Times New Roman" w:hAnsi="Times New Roman" w:cs="Times New Roman"/>
          <w:lang w:val="en-US"/>
        </w:rPr>
        <w:t xml:space="preserve"> In this context, I use the term ‘dialectical’ in Hegelian sense. 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33E"/>
    <w:rsid w:val="0047333E"/>
    <w:rsid w:val="007B6A58"/>
    <w:rsid w:val="008410CD"/>
    <w:rsid w:val="009B0D5D"/>
    <w:rsid w:val="00D8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6CE22C-5782-4485-ABE1-27E41ECFC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>
      <w:pPr>
        <w:spacing w:line="360" w:lineRule="auto"/>
        <w:ind w:firstLine="284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7333E"/>
    <w:rPr>
      <w:rFonts w:asciiTheme="minorHAnsi" w:hAnsiTheme="minorHAnsi" w:cstheme="min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47333E"/>
    <w:pPr>
      <w:autoSpaceDE w:val="0"/>
      <w:autoSpaceDN w:val="0"/>
      <w:adjustRightInd w:val="0"/>
      <w:spacing w:line="240" w:lineRule="auto"/>
      <w:ind w:firstLine="0"/>
      <w:jc w:val="left"/>
    </w:pPr>
    <w:rPr>
      <w:color w:val="000000"/>
    </w:rPr>
  </w:style>
  <w:style w:type="paragraph" w:styleId="Corpotesto">
    <w:name w:val="Body Text"/>
    <w:basedOn w:val="Normale"/>
    <w:link w:val="CorpotestoCarattere"/>
    <w:uiPriority w:val="1"/>
    <w:qFormat/>
    <w:rsid w:val="0047333E"/>
    <w:pPr>
      <w:widowControl w:val="0"/>
      <w:spacing w:before="10" w:line="240" w:lineRule="auto"/>
      <w:ind w:left="112" w:firstLine="0"/>
      <w:jc w:val="left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7333E"/>
    <w:rPr>
      <w:rFonts w:eastAsia="Times New Roman" w:cstheme="minorBidi"/>
      <w:lang w:val="en-GB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47333E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47333E"/>
    <w:rPr>
      <w:rFonts w:asciiTheme="minorHAnsi" w:hAnsiTheme="minorHAnsi" w:cstheme="minorBidi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4733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pilati</dc:creator>
  <cp:keywords/>
  <dc:description/>
  <cp:lastModifiedBy>wilma pilati</cp:lastModifiedBy>
  <cp:revision>2</cp:revision>
  <dcterms:created xsi:type="dcterms:W3CDTF">2018-04-11T07:45:00Z</dcterms:created>
  <dcterms:modified xsi:type="dcterms:W3CDTF">2018-04-11T08:03:00Z</dcterms:modified>
</cp:coreProperties>
</file>