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9F85" w14:textId="77777777" w:rsidR="004957EA" w:rsidRPr="004957EA" w:rsidRDefault="00FF267C" w:rsidP="004957EA">
      <w:pPr>
        <w:spacing w:after="300"/>
        <w:jc w:val="center"/>
        <w:rPr>
          <w:rFonts w:ascii="Palatino Linotype" w:hAnsi="Palatino Linotype"/>
          <w:b/>
          <w:sz w:val="28"/>
          <w:szCs w:val="24"/>
        </w:rPr>
      </w:pPr>
      <w:bookmarkStart w:id="0" w:name="_GoBack"/>
      <w:bookmarkEnd w:id="0"/>
      <w:r w:rsidRPr="004957EA">
        <w:rPr>
          <w:rFonts w:ascii="Palatino Linotype" w:hAnsi="Palatino Linotype"/>
          <w:b/>
          <w:sz w:val="28"/>
          <w:szCs w:val="24"/>
        </w:rPr>
        <w:t>The Morality of Discrimination</w:t>
      </w:r>
    </w:p>
    <w:p w14:paraId="4E9CB27E" w14:textId="77777777" w:rsidR="004957EA" w:rsidRDefault="00FF267C" w:rsidP="004957EA">
      <w:pPr>
        <w:jc w:val="both"/>
        <w:rPr>
          <w:rFonts w:ascii="Palatino Linotype" w:hAnsi="Palatino Linotype"/>
          <w:sz w:val="24"/>
          <w:szCs w:val="24"/>
        </w:rPr>
      </w:pPr>
      <w:r w:rsidRPr="00FF267C">
        <w:rPr>
          <w:rFonts w:ascii="Palatino Linotype" w:hAnsi="Palatino Linotype"/>
          <w:b/>
          <w:sz w:val="24"/>
          <w:szCs w:val="24"/>
        </w:rPr>
        <w:t>Description</w:t>
      </w:r>
    </w:p>
    <w:p w14:paraId="6C786B4E" w14:textId="77777777" w:rsidR="00CF1584" w:rsidRPr="00FF267C" w:rsidRDefault="00CF1584" w:rsidP="004957EA">
      <w:pPr>
        <w:jc w:val="both"/>
        <w:rPr>
          <w:rFonts w:ascii="Palatino Linotype" w:hAnsi="Palatino Linotype"/>
          <w:sz w:val="24"/>
          <w:szCs w:val="24"/>
        </w:rPr>
      </w:pPr>
      <w:r w:rsidRPr="00FF267C">
        <w:rPr>
          <w:rFonts w:ascii="Palatino Linotype" w:hAnsi="Palatino Linotype"/>
          <w:sz w:val="24"/>
          <w:szCs w:val="24"/>
        </w:rPr>
        <w:t>Recent philosophical discussions about discrimination have focused on what makes discrimination wrongful in paradigmatic cases, such as in examples involving sexist hiring committees or racist university admissions procedures. The purpose of this course is to provide a forum within which to build upon these foundations by exploring the further complications that arise in more controversial cases of the kind that we encounter most commonly. Throughout the course, we will explore questions such as the following: Is it wrong for the manager of a nightclub to hire on the basis of an applicant’s good looks? Is it wrong for someone to choose where to live, or where to send her child to school, based upon the racial or ethnic make-up of the local population? If so, is this kind of discrimination wrong for the same reasons, and to the same degree, as discrimination in professional contexts? May the state interfere in individual’s private lives so as to minimise wrongful discrimination of this kind (assuming that it is wrongful) and, if so, which kinds of interventions are justifiable? This will require us to reflect upon whether the wrongness of discrimination varies when it intersects with concerns relating to personal autonomy, bodily integrity, privacy, and family life.</w:t>
      </w:r>
    </w:p>
    <w:p w14:paraId="62B97FE0" w14:textId="77777777" w:rsidR="00226A20" w:rsidRPr="00FF267C" w:rsidRDefault="00CF1584" w:rsidP="004957EA">
      <w:pPr>
        <w:jc w:val="both"/>
        <w:rPr>
          <w:rFonts w:ascii="Palatino Linotype" w:hAnsi="Palatino Linotype"/>
          <w:sz w:val="24"/>
          <w:szCs w:val="24"/>
        </w:rPr>
      </w:pPr>
      <w:r w:rsidRPr="00FF267C">
        <w:rPr>
          <w:rFonts w:ascii="Palatino Linotype" w:hAnsi="Palatino Linotype"/>
          <w:sz w:val="24"/>
          <w:szCs w:val="24"/>
        </w:rPr>
        <w:t>This one-week course will have three parts. First, we will spend one day surveying competing accounts of the wrongness of discrimination so as to familiarise students with existing debates in the philosophical literature. The three main candidates are, first, the ‘harm-based’ account discrimination according to which discrimination is wrong when and because it makes the victims worse-off than they would be according to a given baseline. A second position holds that discrimination is wrong when and because the discriminatory act is the product of certain bad intentions, such as when it is born out of hatred, animus, or prejudice. A third account insists that we must explain the wrongness of discrimination in terms of its objective expressive meaning or the disrespectful message that it sends.</w:t>
      </w:r>
    </w:p>
    <w:p w14:paraId="016BADFD" w14:textId="77777777" w:rsidR="00CF1584" w:rsidRPr="00FF267C" w:rsidRDefault="00CF1584" w:rsidP="004957EA">
      <w:pPr>
        <w:jc w:val="both"/>
        <w:rPr>
          <w:rFonts w:ascii="Palatino Linotype" w:hAnsi="Palatino Linotype"/>
          <w:sz w:val="24"/>
          <w:szCs w:val="24"/>
        </w:rPr>
      </w:pPr>
      <w:r w:rsidRPr="00FF267C">
        <w:rPr>
          <w:rFonts w:ascii="Palatino Linotype" w:hAnsi="Palatino Linotype"/>
          <w:sz w:val="24"/>
          <w:szCs w:val="24"/>
        </w:rPr>
        <w:t xml:space="preserve">In the second part of the course, we will spend two days investigating more controversial aspects of discrimination. The first of these two days will focus on discrimination in our private lives. We will focus on the morality of discrimination in school and residential choices, and more intimate spheres such as friendship or sexual partners. Our task is to distinguish between the types of rights that peoples have in these areas, and their implications for discrimination. The second of these two days will focus on appearance-based discrimination. In particular, we’ll examine cases in which employees’ performances depend partly on others’ reactions to their appearance, including their beauty, skin tone, height, and so forth.  </w:t>
      </w:r>
    </w:p>
    <w:p w14:paraId="1AFE6ED2" w14:textId="77777777" w:rsidR="00CF1584" w:rsidRPr="00FF267C" w:rsidRDefault="00CF1584" w:rsidP="004957EA">
      <w:pPr>
        <w:spacing w:after="300"/>
        <w:jc w:val="both"/>
        <w:rPr>
          <w:rFonts w:ascii="Palatino Linotype" w:hAnsi="Palatino Linotype"/>
          <w:sz w:val="24"/>
          <w:szCs w:val="24"/>
        </w:rPr>
      </w:pPr>
      <w:r w:rsidRPr="00FF267C">
        <w:rPr>
          <w:rFonts w:ascii="Palatino Linotype" w:hAnsi="Palatino Linotype"/>
          <w:sz w:val="24"/>
          <w:szCs w:val="24"/>
        </w:rPr>
        <w:lastRenderedPageBreak/>
        <w:t>For the third part of the course, we will spend two days evaluating various policy responses to wrongful discrimination. The first of these two days will focus on affirmative action; the second of these two days will focus on the state’s responses to gender discrimination</w:t>
      </w:r>
      <w:r w:rsidR="004957EA">
        <w:rPr>
          <w:rFonts w:ascii="Palatino Linotype" w:hAnsi="Palatino Linotype"/>
          <w:sz w:val="24"/>
          <w:szCs w:val="24"/>
        </w:rPr>
        <w:t>.</w:t>
      </w:r>
    </w:p>
    <w:p w14:paraId="2DEE32B4" w14:textId="77777777" w:rsidR="00CF1584" w:rsidRPr="00FF267C" w:rsidRDefault="004957EA" w:rsidP="00CF1584">
      <w:pPr>
        <w:rPr>
          <w:rFonts w:ascii="Palatino Linotype" w:hAnsi="Palatino Linotype"/>
          <w:b/>
          <w:sz w:val="24"/>
          <w:szCs w:val="24"/>
        </w:rPr>
      </w:pPr>
      <w:r>
        <w:rPr>
          <w:rFonts w:ascii="Palatino Linotype" w:hAnsi="Palatino Linotype"/>
          <w:b/>
          <w:sz w:val="24"/>
          <w:szCs w:val="24"/>
        </w:rPr>
        <w:t>Preliminary syllabus</w:t>
      </w:r>
    </w:p>
    <w:p w14:paraId="261BDC27" w14:textId="77777777" w:rsidR="004957EA" w:rsidRDefault="00CF1584" w:rsidP="004957EA">
      <w:pPr>
        <w:rPr>
          <w:rFonts w:ascii="Palatino Linotype" w:hAnsi="Palatino Linotype"/>
          <w:sz w:val="24"/>
          <w:szCs w:val="24"/>
        </w:rPr>
      </w:pPr>
      <w:r w:rsidRPr="00FF267C">
        <w:rPr>
          <w:rFonts w:ascii="Palatino Linotype" w:hAnsi="Palatino Linotype"/>
          <w:i/>
          <w:sz w:val="24"/>
          <w:szCs w:val="24"/>
        </w:rPr>
        <w:t xml:space="preserve">Day 1 </w:t>
      </w:r>
      <w:r w:rsidR="00F7573E">
        <w:rPr>
          <w:rFonts w:ascii="Palatino Linotype" w:hAnsi="Palatino Linotype"/>
          <w:i/>
          <w:sz w:val="24"/>
          <w:szCs w:val="24"/>
        </w:rPr>
        <w:t xml:space="preserve">Introduction: </w:t>
      </w:r>
      <w:r w:rsidRPr="00FF267C">
        <w:rPr>
          <w:rFonts w:ascii="Palatino Linotype" w:hAnsi="Palatino Linotype"/>
          <w:i/>
          <w:sz w:val="24"/>
          <w:szCs w:val="24"/>
        </w:rPr>
        <w:t>The</w:t>
      </w:r>
      <w:r w:rsidR="004957EA">
        <w:rPr>
          <w:rFonts w:ascii="Palatino Linotype" w:hAnsi="Palatino Linotype"/>
          <w:i/>
          <w:sz w:val="24"/>
          <w:szCs w:val="24"/>
        </w:rPr>
        <w:t xml:space="preserve"> Wrongness of Discrimination: An </w:t>
      </w:r>
      <w:r w:rsidRPr="00F7573E">
        <w:rPr>
          <w:rFonts w:ascii="Palatino Linotype" w:hAnsi="Palatino Linotype"/>
          <w:i/>
          <w:sz w:val="24"/>
          <w:szCs w:val="24"/>
        </w:rPr>
        <w:t xml:space="preserve">Overview </w:t>
      </w:r>
      <w:r w:rsidRPr="00F7573E">
        <w:rPr>
          <w:rFonts w:ascii="Palatino Linotype" w:hAnsi="Palatino Linotype"/>
          <w:sz w:val="24"/>
          <w:szCs w:val="24"/>
        </w:rPr>
        <w:t>(</w:t>
      </w:r>
      <w:r w:rsidR="00F7573E" w:rsidRPr="00F7573E">
        <w:rPr>
          <w:rFonts w:ascii="Palatino Linotype" w:hAnsi="Palatino Linotype"/>
          <w:sz w:val="24"/>
          <w:szCs w:val="24"/>
        </w:rPr>
        <w:t>Andres Moles and Tom Parr</w:t>
      </w:r>
      <w:r w:rsidRPr="00F7573E">
        <w:rPr>
          <w:rFonts w:ascii="Palatino Linotype" w:hAnsi="Palatino Linotype"/>
          <w:sz w:val="24"/>
          <w:szCs w:val="24"/>
        </w:rPr>
        <w:t>)</w:t>
      </w:r>
    </w:p>
    <w:p w14:paraId="15D97B35" w14:textId="77777777" w:rsidR="004957EA" w:rsidRPr="004957EA" w:rsidRDefault="00300E50" w:rsidP="00300E50">
      <w:pPr>
        <w:pStyle w:val="ListParagraph"/>
        <w:numPr>
          <w:ilvl w:val="0"/>
          <w:numId w:val="2"/>
        </w:numPr>
        <w:spacing w:after="0" w:line="240" w:lineRule="auto"/>
        <w:jc w:val="both"/>
        <w:rPr>
          <w:rFonts w:ascii="Palatino Linotype" w:eastAsia="Times New Roman" w:hAnsi="Palatino Linotype" w:cs="Times New Roman"/>
          <w:sz w:val="24"/>
          <w:szCs w:val="24"/>
          <w:lang w:val="en-US"/>
        </w:rPr>
      </w:pPr>
      <w:r w:rsidRPr="004957EA">
        <w:rPr>
          <w:rFonts w:ascii="Palatino Linotype" w:eastAsia="Times New Roman" w:hAnsi="Palatino Linotype" w:cs="Helvetica"/>
          <w:sz w:val="24"/>
          <w:szCs w:val="24"/>
          <w:lang w:val="en-US"/>
        </w:rPr>
        <w:t xml:space="preserve">Alexander, Larry, “What Makes Wrongful Discrimination Wrong? Biases, Preferences, Stereotypes, and Proxies”, </w:t>
      </w:r>
      <w:r w:rsidRPr="004957EA">
        <w:rPr>
          <w:rFonts w:ascii="Palatino Linotype" w:eastAsia="Times New Roman" w:hAnsi="Palatino Linotype" w:cs="Helvetica"/>
          <w:i/>
          <w:iCs/>
          <w:sz w:val="24"/>
          <w:szCs w:val="24"/>
          <w:lang w:val="en-US"/>
        </w:rPr>
        <w:t>University of Pennsylvania Law Review</w:t>
      </w:r>
      <w:r w:rsidRPr="004957EA">
        <w:rPr>
          <w:rFonts w:ascii="Palatino Linotype" w:eastAsia="Times New Roman" w:hAnsi="Palatino Linotype" w:cs="Helvetica"/>
          <w:sz w:val="24"/>
          <w:szCs w:val="24"/>
          <w:lang w:val="en-US"/>
        </w:rPr>
        <w:t>, 1992, 149–219.</w:t>
      </w:r>
    </w:p>
    <w:p w14:paraId="53585078" w14:textId="77777777" w:rsidR="004957EA" w:rsidRPr="004957EA" w:rsidRDefault="00300E50" w:rsidP="00300E50">
      <w:pPr>
        <w:pStyle w:val="ListParagraph"/>
        <w:numPr>
          <w:ilvl w:val="0"/>
          <w:numId w:val="2"/>
        </w:numPr>
        <w:spacing w:after="0" w:line="240" w:lineRule="auto"/>
        <w:jc w:val="both"/>
        <w:rPr>
          <w:rFonts w:ascii="Palatino Linotype" w:eastAsia="Times New Roman" w:hAnsi="Palatino Linotype" w:cs="Helvetica"/>
          <w:sz w:val="24"/>
          <w:szCs w:val="24"/>
          <w:lang w:val="en-US"/>
        </w:rPr>
      </w:pPr>
      <w:r w:rsidRPr="004957EA">
        <w:rPr>
          <w:rFonts w:ascii="Palatino Linotype" w:eastAsia="Times New Roman" w:hAnsi="Palatino Linotype" w:cs="Helvetica"/>
          <w:sz w:val="24"/>
          <w:szCs w:val="24"/>
          <w:lang w:val="en-US"/>
        </w:rPr>
        <w:t xml:space="preserve">Hellman, Deborah, </w:t>
      </w:r>
      <w:r w:rsidRPr="004957EA">
        <w:rPr>
          <w:rFonts w:ascii="Palatino Linotype" w:eastAsia="Times New Roman" w:hAnsi="Palatino Linotype" w:cs="Helvetica"/>
          <w:i/>
          <w:sz w:val="24"/>
          <w:szCs w:val="24"/>
          <w:lang w:val="en-US"/>
        </w:rPr>
        <w:t>When Is Discrimination Wrong?</w:t>
      </w:r>
      <w:r w:rsidRPr="004957EA">
        <w:rPr>
          <w:rFonts w:ascii="Palatino Linotype" w:eastAsia="Times New Roman" w:hAnsi="Palatino Linotype" w:cs="Helvetica"/>
          <w:sz w:val="24"/>
          <w:szCs w:val="24"/>
          <w:lang w:val="en-US"/>
        </w:rPr>
        <w:t xml:space="preserve"> (Cambridge, MA.: Harvard University Press, 2011), ch. </w:t>
      </w:r>
      <w:r w:rsidRPr="004957EA">
        <w:rPr>
          <w:rFonts w:ascii="Palatino Linotype" w:eastAsia="Times New Roman" w:hAnsi="Palatino Linotype" w:cs="Times New Roman"/>
          <w:sz w:val="24"/>
          <w:szCs w:val="24"/>
          <w:lang w:val="en-US"/>
        </w:rPr>
        <w:t xml:space="preserve">2. </w:t>
      </w:r>
    </w:p>
    <w:p w14:paraId="7E13F43A" w14:textId="77777777" w:rsidR="004957EA" w:rsidRPr="004957EA" w:rsidRDefault="00300E50" w:rsidP="00300E50">
      <w:pPr>
        <w:pStyle w:val="ListParagraph"/>
        <w:numPr>
          <w:ilvl w:val="0"/>
          <w:numId w:val="2"/>
        </w:numPr>
        <w:spacing w:after="0" w:line="240" w:lineRule="auto"/>
        <w:jc w:val="both"/>
        <w:rPr>
          <w:rFonts w:ascii="Palatino Linotype" w:hAnsi="Palatino Linotype"/>
          <w:sz w:val="24"/>
          <w:szCs w:val="24"/>
        </w:rPr>
      </w:pPr>
      <w:r w:rsidRPr="004957EA">
        <w:rPr>
          <w:rFonts w:ascii="Palatino Linotype" w:eastAsia="Times New Roman" w:hAnsi="Palatino Linotype" w:cs="Helvetica"/>
          <w:sz w:val="24"/>
          <w:szCs w:val="24"/>
          <w:lang w:val="en-US"/>
        </w:rPr>
        <w:t xml:space="preserve">Lippert-Rasmussen, Kasper, </w:t>
      </w:r>
      <w:r w:rsidRPr="004957EA">
        <w:rPr>
          <w:rFonts w:ascii="Palatino Linotype" w:eastAsia="Times New Roman" w:hAnsi="Palatino Linotype" w:cs="Helvetica"/>
          <w:i/>
          <w:iCs/>
          <w:sz w:val="24"/>
          <w:szCs w:val="24"/>
          <w:lang w:val="en-US"/>
        </w:rPr>
        <w:t xml:space="preserve">Born Free and Equal? </w:t>
      </w:r>
      <w:r w:rsidRPr="004957EA">
        <w:rPr>
          <w:rFonts w:ascii="Palatino Linotype" w:eastAsia="Times New Roman" w:hAnsi="Palatino Linotype" w:cs="Helvetica"/>
          <w:iCs/>
          <w:sz w:val="24"/>
          <w:szCs w:val="24"/>
          <w:lang w:val="en-US"/>
        </w:rPr>
        <w:t>(</w:t>
      </w:r>
      <w:r w:rsidRPr="004957EA">
        <w:rPr>
          <w:rFonts w:ascii="Palatino Linotype" w:eastAsia="Times New Roman" w:hAnsi="Palatino Linotype" w:cs="Helvetica"/>
          <w:sz w:val="24"/>
          <w:szCs w:val="24"/>
          <w:lang w:val="en-US"/>
        </w:rPr>
        <w:t>Oxford: Oxford University Press, 2014), ch. 6.</w:t>
      </w:r>
    </w:p>
    <w:p w14:paraId="5E8D5B7D" w14:textId="77777777" w:rsidR="004957EA" w:rsidRPr="004957EA" w:rsidRDefault="00300E50" w:rsidP="00F7573E">
      <w:pPr>
        <w:pStyle w:val="ListParagraph"/>
        <w:numPr>
          <w:ilvl w:val="0"/>
          <w:numId w:val="2"/>
        </w:numPr>
        <w:spacing w:after="300" w:line="240" w:lineRule="auto"/>
        <w:jc w:val="both"/>
        <w:rPr>
          <w:rFonts w:ascii="Palatino Linotype" w:hAnsi="Palatino Linotype"/>
          <w:i/>
          <w:sz w:val="24"/>
          <w:szCs w:val="24"/>
        </w:rPr>
      </w:pPr>
      <w:r w:rsidRPr="004957EA">
        <w:rPr>
          <w:rFonts w:ascii="Palatino Linotype" w:eastAsia="Times New Roman" w:hAnsi="Palatino Linotype" w:cs="Helvetica"/>
          <w:sz w:val="24"/>
          <w:szCs w:val="24"/>
          <w:lang w:val="en-US"/>
        </w:rPr>
        <w:t>Moreau, Sophia</w:t>
      </w:r>
      <w:r w:rsidRPr="004957EA">
        <w:rPr>
          <w:rFonts w:ascii="Palatino Linotype" w:eastAsia="Times New Roman" w:hAnsi="Palatino Linotype" w:cs="Times New Roman"/>
          <w:sz w:val="24"/>
          <w:szCs w:val="24"/>
          <w:lang w:val="en-US"/>
        </w:rPr>
        <w:t xml:space="preserve">, “What is Discrimination?”, </w:t>
      </w:r>
      <w:r w:rsidRPr="004957EA">
        <w:rPr>
          <w:rFonts w:ascii="Palatino Linotype" w:eastAsia="Times New Roman" w:hAnsi="Palatino Linotype" w:cs="Times New Roman"/>
          <w:i/>
          <w:sz w:val="24"/>
          <w:szCs w:val="24"/>
          <w:lang w:val="en-US"/>
        </w:rPr>
        <w:t>Philosophy and Public Affairs</w:t>
      </w:r>
      <w:r w:rsidRPr="004957EA">
        <w:rPr>
          <w:rFonts w:ascii="Palatino Linotype" w:eastAsia="Times New Roman" w:hAnsi="Palatino Linotype" w:cs="Times New Roman"/>
          <w:sz w:val="24"/>
          <w:szCs w:val="24"/>
          <w:lang w:val="en-US"/>
        </w:rPr>
        <w:t>, 38, 2010, 143-179</w:t>
      </w:r>
      <w:r w:rsidR="004957EA" w:rsidRPr="004957EA">
        <w:rPr>
          <w:rFonts w:ascii="Palatino Linotype" w:eastAsia="Times New Roman" w:hAnsi="Palatino Linotype" w:cs="Times New Roman"/>
          <w:sz w:val="24"/>
          <w:szCs w:val="24"/>
          <w:lang w:val="en-US"/>
        </w:rPr>
        <w:t>.</w:t>
      </w:r>
    </w:p>
    <w:p w14:paraId="6FFBC584" w14:textId="77777777" w:rsidR="00F7573E" w:rsidRPr="00F7573E" w:rsidRDefault="00F7573E" w:rsidP="00F7573E">
      <w:pPr>
        <w:rPr>
          <w:rFonts w:ascii="Palatino Linotype" w:hAnsi="Palatino Linotype"/>
          <w:sz w:val="24"/>
          <w:szCs w:val="24"/>
        </w:rPr>
      </w:pPr>
      <w:r w:rsidRPr="00F7573E">
        <w:rPr>
          <w:rFonts w:ascii="Palatino Linotype" w:hAnsi="Palatino Linotype"/>
          <w:i/>
          <w:sz w:val="24"/>
          <w:szCs w:val="24"/>
        </w:rPr>
        <w:t>Day 1 (cont.)</w:t>
      </w:r>
      <w:r w:rsidR="004957EA">
        <w:rPr>
          <w:rFonts w:ascii="Palatino Linotype" w:hAnsi="Palatino Linotype"/>
          <w:i/>
          <w:sz w:val="24"/>
          <w:szCs w:val="24"/>
        </w:rPr>
        <w:t>:</w:t>
      </w:r>
      <w:r>
        <w:rPr>
          <w:rFonts w:ascii="Palatino Linotype" w:hAnsi="Palatino Linotype"/>
          <w:sz w:val="24"/>
          <w:szCs w:val="24"/>
        </w:rPr>
        <w:t xml:space="preserve"> </w:t>
      </w:r>
      <w:r w:rsidRPr="00F7573E">
        <w:rPr>
          <w:rFonts w:ascii="Palatino Linotype" w:hAnsi="Palatino Linotype"/>
          <w:i/>
          <w:sz w:val="24"/>
          <w:szCs w:val="24"/>
        </w:rPr>
        <w:t xml:space="preserve">Discrimination in the Personal Sphere </w:t>
      </w:r>
      <w:r w:rsidRPr="00F7573E">
        <w:rPr>
          <w:rFonts w:ascii="Palatino Linotype" w:hAnsi="Palatino Linotype"/>
          <w:sz w:val="24"/>
          <w:szCs w:val="24"/>
        </w:rPr>
        <w:t>(Tom Parr and Andres Moles)</w:t>
      </w:r>
    </w:p>
    <w:p w14:paraId="28D54381" w14:textId="77777777" w:rsidR="004957EA" w:rsidRDefault="00F7573E" w:rsidP="004957EA">
      <w:pPr>
        <w:pStyle w:val="ListParagraph"/>
        <w:numPr>
          <w:ilvl w:val="0"/>
          <w:numId w:val="3"/>
        </w:numPr>
        <w:jc w:val="both"/>
        <w:rPr>
          <w:rFonts w:ascii="Palatino Linotype" w:hAnsi="Palatino Linotype"/>
          <w:sz w:val="24"/>
          <w:szCs w:val="24"/>
        </w:rPr>
      </w:pPr>
      <w:r w:rsidRPr="004957EA">
        <w:rPr>
          <w:rFonts w:ascii="Palatino Linotype" w:hAnsi="Palatino Linotype"/>
          <w:sz w:val="24"/>
          <w:szCs w:val="24"/>
        </w:rPr>
        <w:t xml:space="preserve">Bedi, Sonu, “Sexual Racism: Intimacy as a Matter of Justice”, </w:t>
      </w:r>
      <w:r w:rsidRPr="004957EA">
        <w:rPr>
          <w:rFonts w:ascii="Palatino Linotype" w:hAnsi="Palatino Linotype"/>
          <w:i/>
          <w:sz w:val="24"/>
          <w:szCs w:val="24"/>
        </w:rPr>
        <w:t>Journal of Politics</w:t>
      </w:r>
      <w:r w:rsidRPr="004957EA">
        <w:rPr>
          <w:rFonts w:ascii="Palatino Linotype" w:hAnsi="Palatino Linotype"/>
          <w:sz w:val="24"/>
          <w:szCs w:val="24"/>
        </w:rPr>
        <w:t xml:space="preserve">, 77 (2015), 998–1011. </w:t>
      </w:r>
    </w:p>
    <w:p w14:paraId="188B6ABB" w14:textId="77777777" w:rsidR="004957EA" w:rsidRDefault="00F7573E" w:rsidP="004957EA">
      <w:pPr>
        <w:pStyle w:val="ListParagraph"/>
        <w:numPr>
          <w:ilvl w:val="0"/>
          <w:numId w:val="3"/>
        </w:numPr>
        <w:jc w:val="both"/>
        <w:rPr>
          <w:rFonts w:ascii="Palatino Linotype" w:hAnsi="Palatino Linotype"/>
          <w:sz w:val="24"/>
          <w:szCs w:val="24"/>
        </w:rPr>
      </w:pPr>
      <w:r w:rsidRPr="004957EA">
        <w:rPr>
          <w:rFonts w:ascii="Palatino Linotype" w:hAnsi="Palatino Linotype"/>
          <w:sz w:val="24"/>
          <w:szCs w:val="24"/>
        </w:rPr>
        <w:t xml:space="preserve">Lazenby, Hugh, “Discrimination and Love” in Lippert Rasmussen, Kasper. (ed.) </w:t>
      </w:r>
      <w:r w:rsidRPr="004957EA">
        <w:rPr>
          <w:rFonts w:ascii="Palatino Linotype" w:hAnsi="Palatino Linotype"/>
          <w:i/>
          <w:sz w:val="24"/>
          <w:szCs w:val="24"/>
        </w:rPr>
        <w:t>The Routledge Handbook on Discrimination</w:t>
      </w:r>
      <w:r w:rsidRPr="004957EA">
        <w:rPr>
          <w:rFonts w:ascii="Palatino Linotype" w:hAnsi="Palatino Linotype"/>
          <w:sz w:val="24"/>
          <w:szCs w:val="24"/>
        </w:rPr>
        <w:t xml:space="preserve"> (Oxford: Routledge, 2018). </w:t>
      </w:r>
    </w:p>
    <w:p w14:paraId="378A4A9F" w14:textId="77777777" w:rsidR="00CF1584" w:rsidRPr="004957EA" w:rsidRDefault="00F7573E" w:rsidP="004957EA">
      <w:pPr>
        <w:pStyle w:val="ListParagraph"/>
        <w:numPr>
          <w:ilvl w:val="0"/>
          <w:numId w:val="3"/>
        </w:numPr>
        <w:spacing w:after="300"/>
        <w:jc w:val="both"/>
        <w:rPr>
          <w:rFonts w:ascii="Palatino Linotype" w:hAnsi="Palatino Linotype"/>
          <w:sz w:val="24"/>
          <w:szCs w:val="24"/>
        </w:rPr>
      </w:pPr>
      <w:r w:rsidRPr="004957EA">
        <w:rPr>
          <w:rFonts w:ascii="Palatino Linotype" w:hAnsi="Palatino Linotype"/>
          <w:sz w:val="24"/>
          <w:szCs w:val="24"/>
        </w:rPr>
        <w:t xml:space="preserve">Lippert-Rasmussen, Kasper, </w:t>
      </w:r>
      <w:r w:rsidRPr="004957EA">
        <w:rPr>
          <w:rFonts w:ascii="Palatino Linotype" w:hAnsi="Palatino Linotype"/>
          <w:i/>
          <w:sz w:val="24"/>
          <w:szCs w:val="24"/>
        </w:rPr>
        <w:t>Born Free and Equal?</w:t>
      </w:r>
      <w:r w:rsidRPr="004957EA">
        <w:rPr>
          <w:rFonts w:ascii="Palatino Linotype" w:hAnsi="Palatino Linotype"/>
          <w:sz w:val="24"/>
          <w:szCs w:val="24"/>
        </w:rPr>
        <w:t xml:space="preserve"> (Oxford: Oxford University Press, 2014), ch. 6</w:t>
      </w:r>
      <w:r w:rsidR="004957EA">
        <w:rPr>
          <w:rFonts w:ascii="Palatino Linotype" w:hAnsi="Palatino Linotype"/>
          <w:sz w:val="24"/>
          <w:szCs w:val="24"/>
        </w:rPr>
        <w:t>.</w:t>
      </w:r>
    </w:p>
    <w:p w14:paraId="4F5D8290" w14:textId="77777777" w:rsidR="0072639F" w:rsidRPr="00FF267C" w:rsidRDefault="0072639F" w:rsidP="0072639F">
      <w:pPr>
        <w:rPr>
          <w:rFonts w:ascii="Palatino Linotype" w:hAnsi="Palatino Linotype"/>
          <w:sz w:val="24"/>
          <w:szCs w:val="24"/>
        </w:rPr>
      </w:pPr>
      <w:r w:rsidRPr="00FF267C">
        <w:rPr>
          <w:rFonts w:ascii="Palatino Linotype" w:hAnsi="Palatino Linotype"/>
          <w:i/>
          <w:sz w:val="24"/>
          <w:szCs w:val="24"/>
        </w:rPr>
        <w:t xml:space="preserve">Day </w:t>
      </w:r>
      <w:r>
        <w:rPr>
          <w:rFonts w:ascii="Palatino Linotype" w:hAnsi="Palatino Linotype"/>
          <w:i/>
          <w:sz w:val="24"/>
          <w:szCs w:val="24"/>
        </w:rPr>
        <w:t>2:</w:t>
      </w:r>
      <w:r w:rsidRPr="00FF267C">
        <w:rPr>
          <w:rFonts w:ascii="Palatino Linotype" w:hAnsi="Palatino Linotype"/>
          <w:i/>
          <w:sz w:val="24"/>
          <w:szCs w:val="24"/>
        </w:rPr>
        <w:t xml:space="preserve"> Appearance-Based Discrimination</w:t>
      </w:r>
      <w:r w:rsidRPr="00FF267C">
        <w:rPr>
          <w:rFonts w:ascii="Palatino Linotype" w:hAnsi="Palatino Linotype"/>
          <w:sz w:val="24"/>
          <w:szCs w:val="24"/>
        </w:rPr>
        <w:t xml:space="preserve"> (Andrew Mason)</w:t>
      </w:r>
    </w:p>
    <w:p w14:paraId="5166AF1E" w14:textId="77777777" w:rsidR="0072639F" w:rsidRDefault="0072639F" w:rsidP="0072639F">
      <w:pPr>
        <w:pStyle w:val="ListParagraph"/>
        <w:numPr>
          <w:ilvl w:val="0"/>
          <w:numId w:val="4"/>
        </w:numPr>
        <w:jc w:val="both"/>
        <w:rPr>
          <w:rFonts w:ascii="Palatino Linotype" w:hAnsi="Palatino Linotype"/>
          <w:sz w:val="24"/>
          <w:szCs w:val="24"/>
        </w:rPr>
      </w:pPr>
      <w:r w:rsidRPr="004957EA">
        <w:rPr>
          <w:rFonts w:ascii="Palatino Linotype" w:hAnsi="Palatino Linotype"/>
          <w:sz w:val="24"/>
          <w:szCs w:val="24"/>
        </w:rPr>
        <w:t xml:space="preserve">Mason, Andrew, “Appearance, Discrimination, and Reaction Qualifications: Appearance, Discrimination, and Reaction Qualifications”, </w:t>
      </w:r>
      <w:r w:rsidRPr="004957EA">
        <w:rPr>
          <w:rFonts w:ascii="Palatino Linotype" w:hAnsi="Palatino Linotype"/>
          <w:i/>
          <w:sz w:val="24"/>
          <w:szCs w:val="24"/>
        </w:rPr>
        <w:t>Journal of Political Philosophy</w:t>
      </w:r>
      <w:r w:rsidRPr="004957EA">
        <w:rPr>
          <w:rFonts w:ascii="Palatino Linotype" w:hAnsi="Palatino Linotype"/>
          <w:sz w:val="24"/>
          <w:szCs w:val="24"/>
        </w:rPr>
        <w:t xml:space="preserve">, 25 (2017), 48–71. </w:t>
      </w:r>
    </w:p>
    <w:p w14:paraId="6B5905CF" w14:textId="77777777" w:rsidR="0072639F" w:rsidRDefault="0072639F" w:rsidP="0072639F">
      <w:pPr>
        <w:pStyle w:val="ListParagraph"/>
        <w:numPr>
          <w:ilvl w:val="0"/>
          <w:numId w:val="4"/>
        </w:numPr>
        <w:jc w:val="both"/>
        <w:rPr>
          <w:rFonts w:ascii="Palatino Linotype" w:hAnsi="Palatino Linotype"/>
          <w:sz w:val="24"/>
          <w:szCs w:val="24"/>
        </w:rPr>
      </w:pPr>
      <w:r w:rsidRPr="004957EA">
        <w:rPr>
          <w:rFonts w:ascii="Palatino Linotype" w:hAnsi="Palatino Linotype"/>
          <w:sz w:val="24"/>
          <w:szCs w:val="24"/>
        </w:rPr>
        <w:t xml:space="preserve">Lippert-Rasmussen, Kasper, </w:t>
      </w:r>
      <w:r w:rsidRPr="004957EA">
        <w:rPr>
          <w:rFonts w:ascii="Palatino Linotype" w:hAnsi="Palatino Linotype"/>
          <w:i/>
          <w:sz w:val="24"/>
          <w:szCs w:val="24"/>
        </w:rPr>
        <w:t>Born Free and Equal?</w:t>
      </w:r>
      <w:r w:rsidRPr="004957EA">
        <w:rPr>
          <w:rFonts w:ascii="Palatino Linotype" w:hAnsi="Palatino Linotype"/>
          <w:sz w:val="24"/>
          <w:szCs w:val="24"/>
        </w:rPr>
        <w:t xml:space="preserve"> (Oxford: Oxford University Press, 2014), ch. 9.</w:t>
      </w:r>
    </w:p>
    <w:p w14:paraId="5140D653" w14:textId="77777777" w:rsidR="0072639F" w:rsidRPr="0072639F" w:rsidRDefault="0072639F" w:rsidP="0072639F">
      <w:pPr>
        <w:pStyle w:val="ListParagraph"/>
        <w:numPr>
          <w:ilvl w:val="0"/>
          <w:numId w:val="4"/>
        </w:numPr>
        <w:spacing w:after="300"/>
        <w:jc w:val="both"/>
        <w:rPr>
          <w:rFonts w:ascii="Palatino Linotype" w:hAnsi="Palatino Linotype"/>
          <w:i/>
          <w:sz w:val="24"/>
          <w:szCs w:val="24"/>
        </w:rPr>
      </w:pPr>
      <w:r w:rsidRPr="004957EA">
        <w:rPr>
          <w:rFonts w:ascii="Palatino Linotype" w:hAnsi="Palatino Linotype"/>
          <w:sz w:val="24"/>
          <w:szCs w:val="24"/>
        </w:rPr>
        <w:t xml:space="preserve">Wertheimer, Alan, “Jobs, Qualifications, and Preferences”, </w:t>
      </w:r>
      <w:r w:rsidRPr="004957EA">
        <w:rPr>
          <w:rFonts w:ascii="Palatino Linotype" w:hAnsi="Palatino Linotype"/>
          <w:i/>
          <w:sz w:val="24"/>
          <w:szCs w:val="24"/>
        </w:rPr>
        <w:t>Ethics</w:t>
      </w:r>
      <w:r w:rsidRPr="004957EA">
        <w:rPr>
          <w:rFonts w:ascii="Palatino Linotype" w:hAnsi="Palatino Linotype"/>
          <w:sz w:val="24"/>
          <w:szCs w:val="24"/>
        </w:rPr>
        <w:t>, 94 (1983), 99-112.</w:t>
      </w:r>
    </w:p>
    <w:p w14:paraId="3F6B1F5F" w14:textId="77777777" w:rsidR="00F7573E" w:rsidRPr="00F7573E" w:rsidRDefault="0072639F" w:rsidP="00CF1584">
      <w:pPr>
        <w:rPr>
          <w:rFonts w:ascii="Palatino Linotype" w:hAnsi="Palatino Linotype"/>
          <w:sz w:val="24"/>
          <w:szCs w:val="24"/>
        </w:rPr>
      </w:pPr>
      <w:r>
        <w:rPr>
          <w:rFonts w:ascii="Palatino Linotype" w:hAnsi="Palatino Linotype"/>
          <w:i/>
          <w:sz w:val="24"/>
          <w:szCs w:val="24"/>
        </w:rPr>
        <w:t>Day 3</w:t>
      </w:r>
      <w:r w:rsidR="00F7573E" w:rsidRPr="00F7573E">
        <w:rPr>
          <w:rFonts w:ascii="Palatino Linotype" w:hAnsi="Palatino Linotype"/>
          <w:i/>
          <w:sz w:val="24"/>
          <w:szCs w:val="24"/>
        </w:rPr>
        <w:t xml:space="preserve">: Immigration and Discrimination </w:t>
      </w:r>
      <w:r w:rsidR="00F7573E" w:rsidRPr="00F7573E">
        <w:rPr>
          <w:rFonts w:ascii="Palatino Linotype" w:hAnsi="Palatino Linotype"/>
          <w:sz w:val="24"/>
          <w:szCs w:val="24"/>
        </w:rPr>
        <w:t>(Désirée Lim)</w:t>
      </w:r>
    </w:p>
    <w:p w14:paraId="0B9F4499" w14:textId="77777777" w:rsidR="004957EA" w:rsidRDefault="00F7573E" w:rsidP="004957EA">
      <w:pPr>
        <w:pStyle w:val="ListParagraph"/>
        <w:numPr>
          <w:ilvl w:val="0"/>
          <w:numId w:val="5"/>
        </w:numPr>
        <w:jc w:val="both"/>
        <w:rPr>
          <w:rFonts w:ascii="Palatino Linotype" w:hAnsi="Palatino Linotype"/>
          <w:sz w:val="24"/>
          <w:szCs w:val="24"/>
        </w:rPr>
      </w:pPr>
      <w:r w:rsidRPr="004957EA">
        <w:rPr>
          <w:rFonts w:ascii="Palatino Linotype" w:hAnsi="Palatino Linotype"/>
          <w:sz w:val="24"/>
          <w:szCs w:val="24"/>
        </w:rPr>
        <w:t xml:space="preserve">Lim, Désirée, “Selecting immigrants by skill: a case of wrongful discrimination?”, </w:t>
      </w:r>
      <w:r w:rsidRPr="004957EA">
        <w:rPr>
          <w:rFonts w:ascii="Palatino Linotype" w:hAnsi="Palatino Linotype"/>
          <w:i/>
          <w:sz w:val="24"/>
          <w:szCs w:val="24"/>
        </w:rPr>
        <w:t>Social Theory and Practice</w:t>
      </w:r>
      <w:r w:rsidRPr="004957EA">
        <w:rPr>
          <w:rFonts w:ascii="Palatino Linotype" w:hAnsi="Palatino Linotype"/>
          <w:sz w:val="24"/>
          <w:szCs w:val="24"/>
        </w:rPr>
        <w:t xml:space="preserve">, 43 (2017), 369-396. </w:t>
      </w:r>
    </w:p>
    <w:p w14:paraId="78176730" w14:textId="77777777" w:rsidR="004957EA" w:rsidRDefault="00FC76C3" w:rsidP="004957EA">
      <w:pPr>
        <w:pStyle w:val="ListParagraph"/>
        <w:numPr>
          <w:ilvl w:val="0"/>
          <w:numId w:val="5"/>
        </w:numPr>
        <w:jc w:val="both"/>
        <w:rPr>
          <w:rFonts w:ascii="Palatino Linotype" w:hAnsi="Palatino Linotype"/>
          <w:sz w:val="24"/>
          <w:szCs w:val="24"/>
        </w:rPr>
      </w:pPr>
      <w:r w:rsidRPr="004957EA">
        <w:rPr>
          <w:rFonts w:ascii="Palatino Linotype" w:hAnsi="Palatino Linotype"/>
          <w:sz w:val="24"/>
          <w:szCs w:val="24"/>
        </w:rPr>
        <w:lastRenderedPageBreak/>
        <w:t>Wellman, Christopher, “Immigration and Freedom of Association,”</w:t>
      </w:r>
      <w:r w:rsidRPr="004957EA">
        <w:rPr>
          <w:rFonts w:ascii="Palatino Linotype" w:hAnsi="Palatino Linotype"/>
          <w:i/>
          <w:sz w:val="24"/>
          <w:szCs w:val="24"/>
        </w:rPr>
        <w:t xml:space="preserve"> Ethics </w:t>
      </w:r>
      <w:r w:rsidRPr="004957EA">
        <w:rPr>
          <w:rFonts w:ascii="Palatino Linotype" w:hAnsi="Palatino Linotype"/>
          <w:sz w:val="24"/>
          <w:szCs w:val="24"/>
        </w:rPr>
        <w:t>119(2008), 109-41.</w:t>
      </w:r>
    </w:p>
    <w:p w14:paraId="34DE92D3" w14:textId="77777777" w:rsidR="00EB3C90" w:rsidRPr="004957EA" w:rsidRDefault="00EB3C90" w:rsidP="00CF1584">
      <w:pPr>
        <w:pStyle w:val="ListParagraph"/>
        <w:numPr>
          <w:ilvl w:val="0"/>
          <w:numId w:val="5"/>
        </w:numPr>
        <w:spacing w:after="300"/>
        <w:jc w:val="both"/>
        <w:rPr>
          <w:rFonts w:ascii="Palatino Linotype" w:hAnsi="Palatino Linotype"/>
          <w:i/>
          <w:sz w:val="24"/>
          <w:szCs w:val="24"/>
        </w:rPr>
      </w:pPr>
      <w:r w:rsidRPr="004957EA">
        <w:rPr>
          <w:rFonts w:ascii="Palatino Linotype" w:hAnsi="Palatino Linotype"/>
          <w:sz w:val="24"/>
          <w:szCs w:val="24"/>
        </w:rPr>
        <w:t xml:space="preserve">Mendoza, José Jorge, </w:t>
      </w:r>
      <w:r w:rsidRPr="004957EA">
        <w:rPr>
          <w:rFonts w:ascii="Palatino Linotype" w:hAnsi="Palatino Linotype"/>
          <w:sz w:val="24"/>
          <w:szCs w:val="24"/>
          <w:lang w:val="en-US"/>
        </w:rPr>
        <w:t xml:space="preserve">“Discrimination and Immigration” in in Lippert-Rasmussen, Kasper. (ed.) </w:t>
      </w:r>
      <w:r w:rsidRPr="004957EA">
        <w:rPr>
          <w:rFonts w:ascii="Palatino Linotype" w:hAnsi="Palatino Linotype"/>
          <w:i/>
          <w:sz w:val="24"/>
          <w:szCs w:val="24"/>
          <w:lang w:val="en-US"/>
        </w:rPr>
        <w:t>The Routledge Handbook on Discrimination</w:t>
      </w:r>
      <w:r w:rsidRPr="004957EA">
        <w:rPr>
          <w:rFonts w:ascii="Palatino Linotype" w:hAnsi="Palatino Linotype"/>
          <w:sz w:val="24"/>
          <w:szCs w:val="24"/>
          <w:lang w:val="en-US"/>
        </w:rPr>
        <w:t>, (Oxford: Routledge, 2018.)</w:t>
      </w:r>
    </w:p>
    <w:p w14:paraId="59B38231" w14:textId="77777777" w:rsidR="0072639F" w:rsidRPr="00FF267C" w:rsidRDefault="0072639F" w:rsidP="0072639F">
      <w:pPr>
        <w:rPr>
          <w:rFonts w:ascii="Palatino Linotype" w:hAnsi="Palatino Linotype"/>
          <w:sz w:val="24"/>
          <w:szCs w:val="24"/>
        </w:rPr>
      </w:pPr>
      <w:r>
        <w:rPr>
          <w:rFonts w:ascii="Palatino Linotype" w:hAnsi="Palatino Linotype"/>
          <w:i/>
          <w:sz w:val="24"/>
          <w:szCs w:val="24"/>
        </w:rPr>
        <w:t>Day 4</w:t>
      </w:r>
      <w:r w:rsidRPr="00FF267C">
        <w:rPr>
          <w:rFonts w:ascii="Palatino Linotype" w:hAnsi="Palatino Linotype"/>
          <w:i/>
          <w:sz w:val="24"/>
          <w:szCs w:val="24"/>
        </w:rPr>
        <w:t xml:space="preserve"> Discrimination and Gender</w:t>
      </w:r>
      <w:r w:rsidRPr="00FF267C">
        <w:rPr>
          <w:rFonts w:ascii="Palatino Linotype" w:hAnsi="Palatino Linotype"/>
          <w:sz w:val="24"/>
          <w:szCs w:val="24"/>
        </w:rPr>
        <w:t xml:space="preserve"> (Gina Schouten)</w:t>
      </w:r>
    </w:p>
    <w:p w14:paraId="56966DF6" w14:textId="77777777" w:rsidR="0072639F" w:rsidRDefault="0072639F" w:rsidP="0072639F">
      <w:pPr>
        <w:pStyle w:val="ListParagraph"/>
        <w:numPr>
          <w:ilvl w:val="0"/>
          <w:numId w:val="7"/>
        </w:numPr>
        <w:rPr>
          <w:rFonts w:ascii="Palatino Linotype" w:hAnsi="Palatino Linotype"/>
          <w:sz w:val="24"/>
          <w:szCs w:val="24"/>
        </w:rPr>
      </w:pPr>
      <w:r w:rsidRPr="004957EA">
        <w:rPr>
          <w:rFonts w:ascii="Palatino Linotype" w:hAnsi="Palatino Linotype"/>
          <w:sz w:val="24"/>
          <w:szCs w:val="24"/>
        </w:rPr>
        <w:t xml:space="preserve">Gheaus, Anca, “Gender Justice”, </w:t>
      </w:r>
      <w:r w:rsidRPr="004957EA">
        <w:rPr>
          <w:rFonts w:ascii="Palatino Linotype" w:hAnsi="Palatino Linotype"/>
          <w:i/>
          <w:sz w:val="24"/>
          <w:szCs w:val="24"/>
        </w:rPr>
        <w:t>Journal of Ethics and Social Philosophy</w:t>
      </w:r>
      <w:r w:rsidRPr="004957EA">
        <w:rPr>
          <w:rFonts w:ascii="Palatino Linotype" w:hAnsi="Palatino Linotype"/>
          <w:sz w:val="24"/>
          <w:szCs w:val="24"/>
        </w:rPr>
        <w:t>, 6 (2012), 1–24.</w:t>
      </w:r>
    </w:p>
    <w:p w14:paraId="6405603D" w14:textId="77777777" w:rsidR="0072639F" w:rsidRPr="004957EA" w:rsidRDefault="0072639F" w:rsidP="0072639F">
      <w:pPr>
        <w:pStyle w:val="ListParagraph"/>
        <w:numPr>
          <w:ilvl w:val="0"/>
          <w:numId w:val="7"/>
        </w:numPr>
        <w:spacing w:after="300"/>
        <w:rPr>
          <w:rFonts w:ascii="Palatino Linotype" w:hAnsi="Palatino Linotype"/>
          <w:sz w:val="24"/>
          <w:szCs w:val="24"/>
        </w:rPr>
      </w:pPr>
      <w:r w:rsidRPr="004957EA">
        <w:rPr>
          <w:rFonts w:ascii="Palatino Linotype" w:hAnsi="Palatino Linotype"/>
          <w:sz w:val="24"/>
          <w:szCs w:val="24"/>
        </w:rPr>
        <w:t xml:space="preserve">Goff, Sarah, “How to Trade Fairly in an Unjust Society: The Problem of Gender Discrimination in the Labor Market”, </w:t>
      </w:r>
      <w:r w:rsidRPr="004957EA">
        <w:rPr>
          <w:rFonts w:ascii="Palatino Linotype" w:hAnsi="Palatino Linotype"/>
          <w:i/>
          <w:sz w:val="24"/>
          <w:szCs w:val="24"/>
        </w:rPr>
        <w:t>Social Theory and Practice</w:t>
      </w:r>
      <w:r w:rsidRPr="004957EA">
        <w:rPr>
          <w:rFonts w:ascii="Palatino Linotype" w:hAnsi="Palatino Linotype"/>
          <w:sz w:val="24"/>
          <w:szCs w:val="24"/>
        </w:rPr>
        <w:t>, 42 (2016), 555–580.</w:t>
      </w:r>
    </w:p>
    <w:p w14:paraId="3D49F740" w14:textId="77777777" w:rsidR="00CF1584" w:rsidRPr="00FF267C" w:rsidRDefault="0072639F" w:rsidP="00CF1584">
      <w:pPr>
        <w:rPr>
          <w:rFonts w:ascii="Palatino Linotype" w:hAnsi="Palatino Linotype"/>
          <w:sz w:val="24"/>
          <w:szCs w:val="24"/>
        </w:rPr>
      </w:pPr>
      <w:r>
        <w:rPr>
          <w:rFonts w:ascii="Palatino Linotype" w:hAnsi="Palatino Linotype"/>
          <w:i/>
          <w:sz w:val="24"/>
          <w:szCs w:val="24"/>
        </w:rPr>
        <w:t>Day 5</w:t>
      </w:r>
      <w:r w:rsidR="00CF1584" w:rsidRPr="00FF267C">
        <w:rPr>
          <w:rFonts w:ascii="Palatino Linotype" w:hAnsi="Palatino Linotype"/>
          <w:i/>
          <w:sz w:val="24"/>
          <w:szCs w:val="24"/>
        </w:rPr>
        <w:t xml:space="preserve"> Affirmative Action</w:t>
      </w:r>
      <w:r w:rsidR="00CF1584" w:rsidRPr="00FF267C">
        <w:rPr>
          <w:rFonts w:ascii="Palatino Linotype" w:hAnsi="Palatino Linotype"/>
          <w:sz w:val="24"/>
          <w:szCs w:val="24"/>
        </w:rPr>
        <w:t xml:space="preserve"> (Kasper Lippert-Rasmussen)</w:t>
      </w:r>
    </w:p>
    <w:p w14:paraId="599F2C16" w14:textId="77777777" w:rsidR="004957EA" w:rsidRDefault="00300E50" w:rsidP="004957EA">
      <w:pPr>
        <w:pStyle w:val="ListParagraph"/>
        <w:numPr>
          <w:ilvl w:val="0"/>
          <w:numId w:val="6"/>
        </w:numPr>
        <w:jc w:val="both"/>
        <w:rPr>
          <w:rFonts w:ascii="Palatino Linotype" w:hAnsi="Palatino Linotype"/>
          <w:sz w:val="24"/>
          <w:szCs w:val="24"/>
        </w:rPr>
      </w:pPr>
      <w:r w:rsidRPr="004957EA">
        <w:rPr>
          <w:rFonts w:ascii="Palatino Linotype" w:hAnsi="Palatino Linotype"/>
          <w:sz w:val="24"/>
          <w:szCs w:val="24"/>
        </w:rPr>
        <w:t xml:space="preserve">Dworkin, Ronald, </w:t>
      </w:r>
      <w:r w:rsidRPr="004957EA">
        <w:rPr>
          <w:rFonts w:ascii="Palatino Linotype" w:hAnsi="Palatino Linotype"/>
          <w:i/>
          <w:sz w:val="24"/>
          <w:szCs w:val="24"/>
        </w:rPr>
        <w:t>Sovereign Virtue</w:t>
      </w:r>
      <w:r w:rsidRPr="004957EA">
        <w:rPr>
          <w:rFonts w:ascii="Palatino Linotype" w:hAnsi="Palatino Linotype"/>
          <w:sz w:val="24"/>
          <w:szCs w:val="24"/>
        </w:rPr>
        <w:t xml:space="preserve"> (Cambridge, MA. Harvard University Press, 2000), chs 11-12.</w:t>
      </w:r>
    </w:p>
    <w:p w14:paraId="4A6B4007" w14:textId="77777777" w:rsidR="004957EA" w:rsidRDefault="00300E50" w:rsidP="004957EA">
      <w:pPr>
        <w:pStyle w:val="ListParagraph"/>
        <w:numPr>
          <w:ilvl w:val="0"/>
          <w:numId w:val="6"/>
        </w:numPr>
        <w:jc w:val="both"/>
        <w:rPr>
          <w:rFonts w:ascii="Palatino Linotype" w:hAnsi="Palatino Linotype"/>
          <w:sz w:val="24"/>
          <w:szCs w:val="24"/>
        </w:rPr>
      </w:pPr>
      <w:r w:rsidRPr="004957EA">
        <w:rPr>
          <w:rFonts w:ascii="Palatino Linotype" w:hAnsi="Palatino Linotype"/>
          <w:sz w:val="24"/>
          <w:szCs w:val="24"/>
        </w:rPr>
        <w:t>Pojman, L</w:t>
      </w:r>
      <w:r w:rsidR="004957EA">
        <w:rPr>
          <w:rFonts w:ascii="Palatino Linotype" w:hAnsi="Palatino Linotype"/>
          <w:sz w:val="24"/>
          <w:szCs w:val="24"/>
        </w:rPr>
        <w:t>ouis,</w:t>
      </w:r>
      <w:r w:rsidRPr="004957EA">
        <w:rPr>
          <w:rFonts w:ascii="Palatino Linotype" w:hAnsi="Palatino Linotype"/>
          <w:sz w:val="24"/>
          <w:szCs w:val="24"/>
        </w:rPr>
        <w:t xml:space="preserve"> “The Case against Affirmative Action”, </w:t>
      </w:r>
      <w:r w:rsidRPr="004957EA">
        <w:rPr>
          <w:rFonts w:ascii="Palatino Linotype" w:hAnsi="Palatino Linotype"/>
          <w:i/>
          <w:sz w:val="24"/>
          <w:szCs w:val="24"/>
        </w:rPr>
        <w:t>International Journal of Applied Philosophy</w:t>
      </w:r>
      <w:r w:rsidRPr="004957EA">
        <w:rPr>
          <w:rFonts w:ascii="Palatino Linotype" w:hAnsi="Palatino Linotype"/>
          <w:sz w:val="24"/>
          <w:szCs w:val="24"/>
        </w:rPr>
        <w:t xml:space="preserve">, </w:t>
      </w:r>
      <w:r w:rsidR="00FF267C" w:rsidRPr="004957EA">
        <w:rPr>
          <w:rFonts w:ascii="Palatino Linotype" w:hAnsi="Palatino Linotype"/>
          <w:sz w:val="24"/>
          <w:szCs w:val="24"/>
        </w:rPr>
        <w:t>12 (</w:t>
      </w:r>
      <w:r w:rsidRPr="004957EA">
        <w:rPr>
          <w:rFonts w:ascii="Palatino Linotype" w:hAnsi="Palatino Linotype"/>
          <w:sz w:val="24"/>
          <w:szCs w:val="24"/>
        </w:rPr>
        <w:t>1998</w:t>
      </w:r>
      <w:r w:rsidR="00FF267C" w:rsidRPr="004957EA">
        <w:rPr>
          <w:rFonts w:ascii="Palatino Linotype" w:hAnsi="Palatino Linotype"/>
          <w:sz w:val="24"/>
          <w:szCs w:val="24"/>
        </w:rPr>
        <w:t>), 97-115</w:t>
      </w:r>
      <w:r w:rsidR="004957EA">
        <w:rPr>
          <w:rFonts w:ascii="Palatino Linotype" w:hAnsi="Palatino Linotype"/>
          <w:sz w:val="24"/>
          <w:szCs w:val="24"/>
        </w:rPr>
        <w:t>.</w:t>
      </w:r>
    </w:p>
    <w:p w14:paraId="0F8425F0" w14:textId="77777777" w:rsidR="00FF267C" w:rsidRPr="004957EA" w:rsidRDefault="00FF267C" w:rsidP="004957EA">
      <w:pPr>
        <w:pStyle w:val="ListParagraph"/>
        <w:numPr>
          <w:ilvl w:val="0"/>
          <w:numId w:val="6"/>
        </w:numPr>
        <w:spacing w:after="300"/>
        <w:jc w:val="both"/>
        <w:rPr>
          <w:rFonts w:ascii="Palatino Linotype" w:hAnsi="Palatino Linotype"/>
          <w:sz w:val="24"/>
          <w:szCs w:val="24"/>
        </w:rPr>
      </w:pPr>
      <w:r w:rsidRPr="004957EA">
        <w:rPr>
          <w:rFonts w:ascii="Palatino Linotype" w:hAnsi="Palatino Linotype"/>
          <w:sz w:val="24"/>
          <w:szCs w:val="24"/>
        </w:rPr>
        <w:t>Suk, J</w:t>
      </w:r>
      <w:r w:rsidR="004957EA">
        <w:rPr>
          <w:rFonts w:ascii="Palatino Linotype" w:hAnsi="Palatino Linotype"/>
          <w:sz w:val="24"/>
          <w:szCs w:val="24"/>
        </w:rPr>
        <w:t>ulie,</w:t>
      </w:r>
      <w:r w:rsidRPr="004957EA">
        <w:rPr>
          <w:rFonts w:ascii="Palatino Linotype" w:hAnsi="Palatino Linotype"/>
          <w:sz w:val="24"/>
          <w:szCs w:val="24"/>
        </w:rPr>
        <w:t xml:space="preserve"> “Discrimination and Affirmative Action” in Lippert-Rasmussen, Kasper. (ed</w:t>
      </w:r>
      <w:r w:rsidRPr="004957EA">
        <w:rPr>
          <w:rFonts w:ascii="Palatino Linotype" w:hAnsi="Palatino Linotype"/>
          <w:i/>
          <w:sz w:val="24"/>
          <w:szCs w:val="24"/>
        </w:rPr>
        <w:t>.) The Routledge Handbook on Discrimination</w:t>
      </w:r>
      <w:r w:rsidRPr="004957EA">
        <w:rPr>
          <w:rFonts w:ascii="Palatino Linotype" w:hAnsi="Palatino Linotype"/>
          <w:sz w:val="24"/>
          <w:szCs w:val="24"/>
        </w:rPr>
        <w:t>, (Oxford: Routledge, 2018.)</w:t>
      </w:r>
    </w:p>
    <w:p w14:paraId="5BB0100C" w14:textId="77777777" w:rsidR="0072639F" w:rsidRPr="0072639F" w:rsidRDefault="0072639F" w:rsidP="0072639F">
      <w:pPr>
        <w:ind w:left="360"/>
        <w:rPr>
          <w:rFonts w:ascii="Palatino Linotype" w:hAnsi="Palatino Linotype"/>
          <w:sz w:val="24"/>
          <w:szCs w:val="24"/>
        </w:rPr>
      </w:pPr>
    </w:p>
    <w:sectPr w:rsidR="0072639F" w:rsidRPr="007263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15E"/>
    <w:multiLevelType w:val="hybridMultilevel"/>
    <w:tmpl w:val="7DA21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31948"/>
    <w:multiLevelType w:val="hybridMultilevel"/>
    <w:tmpl w:val="8380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53082"/>
    <w:multiLevelType w:val="hybridMultilevel"/>
    <w:tmpl w:val="0E82D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25E2D"/>
    <w:multiLevelType w:val="hybridMultilevel"/>
    <w:tmpl w:val="738AD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E4AE2"/>
    <w:multiLevelType w:val="hybridMultilevel"/>
    <w:tmpl w:val="AF1C5700"/>
    <w:lvl w:ilvl="0" w:tplc="BFF8FE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370391"/>
    <w:multiLevelType w:val="hybridMultilevel"/>
    <w:tmpl w:val="13EE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4072C"/>
    <w:multiLevelType w:val="hybridMultilevel"/>
    <w:tmpl w:val="681C8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84"/>
    <w:rsid w:val="00226A20"/>
    <w:rsid w:val="00300E50"/>
    <w:rsid w:val="004957EA"/>
    <w:rsid w:val="0072639F"/>
    <w:rsid w:val="007778EE"/>
    <w:rsid w:val="00BE3F27"/>
    <w:rsid w:val="00CF1584"/>
    <w:rsid w:val="00EB3C90"/>
    <w:rsid w:val="00F7573E"/>
    <w:rsid w:val="00FC76C3"/>
    <w:rsid w:val="00FF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67D"/>
  <w15:docId w15:val="{C96C1C64-4296-4DBE-A436-738CA4F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12" ma:contentTypeDescription="Create a new document." ma:contentTypeScope="" ma:versionID="450d82d96531ab1e5e9bedea5560dce1">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04a2c2bf0679fd90a37caf84aeced237"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6E111C-36BC-4B6C-A57B-561419333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546331-390f-411e-a7ff-3398a33e9ae4"/>
    <ds:schemaRef ds:uri="a9baf332-ec32-4d47-87ab-509753f8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06AC6-D534-4349-AC84-DC156B4D5602}">
  <ds:schemaRefs>
    <ds:schemaRef ds:uri="http://schemas.microsoft.com/sharepoint/v3/contenttype/forms"/>
  </ds:schemaRefs>
</ds:datastoreItem>
</file>

<file path=customXml/itemProps3.xml><?xml version="1.0" encoding="utf-8"?>
<ds:datastoreItem xmlns:ds="http://schemas.openxmlformats.org/officeDocument/2006/customXml" ds:itemID="{7117FE12-630F-4B20-BF19-E5FDBBC92A22}">
  <ds:schemaRefs>
    <ds:schemaRef ds:uri="http://purl.org/dc/elements/1.1/"/>
    <ds:schemaRef ds:uri="1d546331-390f-411e-a7ff-3398a33e9ae4"/>
    <ds:schemaRef ds:uri="http://schemas.openxmlformats.org/package/2006/metadata/core-properties"/>
    <ds:schemaRef ds:uri="http://purl.org/dc/terms/"/>
    <ds:schemaRef ds:uri="http://purl.org/dc/dcmitype/"/>
    <ds:schemaRef ds:uri="http://schemas.microsoft.com/sharepoint/v3"/>
    <ds:schemaRef ds:uri="http://schemas.microsoft.com/office/infopath/2007/PartnerControls"/>
    <ds:schemaRef ds:uri="http://schemas.microsoft.com/office/2006/documentManagement/types"/>
    <ds:schemaRef ds:uri="a9baf332-ec32-4d47-87ab-509753f806b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Moles</dc:creator>
  <cp:lastModifiedBy>Eva Gedeon</cp:lastModifiedBy>
  <cp:revision>2</cp:revision>
  <dcterms:created xsi:type="dcterms:W3CDTF">2018-12-13T10:58:00Z</dcterms:created>
  <dcterms:modified xsi:type="dcterms:W3CDTF">2018-12-13T10:58:00Z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