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F80206" w14:textId="77777777" w:rsidR="00E36AC8" w:rsidRDefault="00E36AC8">
      <w:pPr>
        <w:tabs>
          <w:tab w:val="center" w:pos="4680"/>
        </w:tabs>
      </w:pPr>
      <w:r>
        <w:fldChar w:fldCharType="begin"/>
      </w:r>
      <w:r>
        <w:instrText xml:space="preserve"> SEQ CHAPTER \h \r 1</w:instrText>
      </w:r>
      <w:r>
        <w:fldChar w:fldCharType="end"/>
      </w:r>
      <w:r>
        <w:rPr>
          <w:b/>
        </w:rPr>
        <w:tab/>
        <w:t>Tentative Course Syllabus</w:t>
      </w:r>
    </w:p>
    <w:p w14:paraId="0F728796" w14:textId="77777777" w:rsidR="00E36AC8" w:rsidRDefault="00E36AC8"/>
    <w:p w14:paraId="37C82C15" w14:textId="77777777" w:rsidR="00E36AC8" w:rsidRDefault="00E36AC8">
      <w:r>
        <w:rPr>
          <w:i/>
        </w:rPr>
        <w:t>Purpose</w:t>
      </w:r>
      <w:r>
        <w:t xml:space="preserve"> </w:t>
      </w:r>
      <w:r>
        <w:rPr>
          <w:i/>
        </w:rPr>
        <w:t>and Expected Outcomes</w:t>
      </w:r>
    </w:p>
    <w:p w14:paraId="154FEA03" w14:textId="77777777" w:rsidR="00E36AC8" w:rsidRDefault="00E36AC8"/>
    <w:p w14:paraId="35D13A66" w14:textId="77777777" w:rsidR="00E36AC8" w:rsidRDefault="00E36AC8">
      <w:r>
        <w:t xml:space="preserve">The course is designed to expose participants to the latest research from leading figures in the “Phenomenal Intentionality” program, which seeks to ground human mentality in conscious experience – especially the part of that program that is concerned with the role of consciousness in human thought and intelligence.  This program is in opposition to the currently orthodox view of the mind (in philosophy and artificial intelligence) is an information-processing machine, operating on symbolic structures with no intrinsic meaning.  It insists that thought and intelligence require </w:t>
      </w:r>
      <w:r>
        <w:rPr>
          <w:i/>
        </w:rPr>
        <w:t>understanding</w:t>
      </w:r>
      <w:r>
        <w:t>, and that understanding is impossible without conscious awareness.  The central goals of the course are to provide participants – especially those in the early stages of their careers – with a thorough understanding of current, cutting-edge work, and to encourage and support them in the development their own views on the topics of thought, consciousness and the nature of intelligence.  Engagement with the instructors, and each other, in serious, sustained, critical discussion of the issues will give participants a thorough understanding of this emerging research program within analytic philosophy of mind, and, hopefully, have a positive impact on their professional prospects.</w:t>
      </w:r>
    </w:p>
    <w:p w14:paraId="36BA3592" w14:textId="77777777" w:rsidR="00E36AC8" w:rsidRDefault="00E36AC8"/>
    <w:p w14:paraId="2F0E5D95" w14:textId="77777777" w:rsidR="00E36AC8" w:rsidRDefault="00E36AC8">
      <w:bookmarkStart w:id="0" w:name="_GoBack"/>
      <w:bookmarkEnd w:id="0"/>
      <w:r>
        <w:rPr>
          <w:i/>
        </w:rPr>
        <w:t>Course Overview</w:t>
      </w:r>
    </w:p>
    <w:p w14:paraId="5528DB05" w14:textId="77777777" w:rsidR="00E36AC8" w:rsidRDefault="00E36AC8"/>
    <w:p w14:paraId="1B672A02" w14:textId="77777777" w:rsidR="00E36AC8" w:rsidRDefault="00E36AC8">
      <w:r>
        <w:t>Each session of the course will consist of a short presentation of the instructor’s research on a particular topic, followed by open discussion. The bulk of the time in each session will be devoted to discussion, and all participants will be encouraged to ask questions, make objections, and share their own views.</w:t>
      </w:r>
    </w:p>
    <w:p w14:paraId="5FC34460" w14:textId="77777777" w:rsidR="00E36AC8" w:rsidRDefault="00E36AC8"/>
    <w:p w14:paraId="6122F2CF" w14:textId="77777777" w:rsidR="00E36AC8" w:rsidRDefault="00E36AC8">
      <w:r>
        <w:t>Each instructor has included required background readings for each lecture on his or her syllabus.  (See below.)  Three of the instructors are currently working on book-length projects, at least two of which will be published in 2019.  Two others have recent (2018, 2016) books that they will be using in the course.</w:t>
      </w:r>
    </w:p>
    <w:p w14:paraId="14C9EA89" w14:textId="77777777" w:rsidR="00E36AC8" w:rsidRDefault="00E36AC8"/>
    <w:p w14:paraId="21373C80" w14:textId="77777777" w:rsidR="00E36AC8" w:rsidRDefault="00E36AC8">
      <w:r>
        <w:t>Topics to be covered in the course include the following:</w:t>
      </w:r>
    </w:p>
    <w:p w14:paraId="5F18ACDA" w14:textId="77777777" w:rsidR="00E36AC8" w:rsidRDefault="00E36AC8"/>
    <w:p w14:paraId="50AC036E" w14:textId="77777777" w:rsidR="00E36AC8" w:rsidRDefault="00E36AC8">
      <w:pPr>
        <w:ind w:left="720" w:hanging="720"/>
      </w:pPr>
      <w:r>
        <w:t>1.</w:t>
      </w:r>
      <w:r>
        <w:tab/>
        <w:t>Arguments for a proprietary, non-sensory experience of thinking (“cognitive phenomenology”).</w:t>
      </w:r>
    </w:p>
    <w:p w14:paraId="720C83CD" w14:textId="77777777" w:rsidR="00E36AC8" w:rsidRDefault="00E36AC8">
      <w:pPr>
        <w:ind w:left="720" w:hanging="720"/>
      </w:pPr>
      <w:r>
        <w:t>2.</w:t>
      </w:r>
      <w:r>
        <w:tab/>
        <w:t>The relation of current work in analytic philosophy of mind to traditional Phenomenology.</w:t>
      </w:r>
    </w:p>
    <w:p w14:paraId="65293E71" w14:textId="77777777" w:rsidR="00E36AC8" w:rsidRDefault="00E36AC8">
      <w:pPr>
        <w:ind w:left="720" w:hanging="720"/>
      </w:pPr>
      <w:r>
        <w:t>3.</w:t>
      </w:r>
      <w:r>
        <w:tab/>
        <w:t>The integration of cognitive experience with sensory experience.</w:t>
      </w:r>
    </w:p>
    <w:p w14:paraId="7A4D4F56" w14:textId="77777777" w:rsidR="00E36AC8" w:rsidRDefault="00E36AC8">
      <w:pPr>
        <w:ind w:left="720" w:hanging="720"/>
      </w:pPr>
      <w:r>
        <w:t>4.</w:t>
      </w:r>
      <w:r>
        <w:tab/>
        <w:t>The relation of thought experience to the experience of belief, desire, hope, etc.</w:t>
      </w:r>
    </w:p>
    <w:p w14:paraId="02E991BA" w14:textId="77777777" w:rsidR="00E36AC8" w:rsidRDefault="00E36AC8">
      <w:pPr>
        <w:ind w:left="720" w:hanging="720"/>
      </w:pPr>
      <w:r>
        <w:t>5.</w:t>
      </w:r>
      <w:r>
        <w:tab/>
        <w:t>Skepticism about cognitive phenomenology.</w:t>
      </w:r>
    </w:p>
    <w:p w14:paraId="55884D3C" w14:textId="77777777" w:rsidR="00E36AC8" w:rsidRDefault="00E36AC8">
      <w:pPr>
        <w:ind w:left="720" w:hanging="720"/>
      </w:pPr>
      <w:r>
        <w:t>6.</w:t>
      </w:r>
      <w:r>
        <w:tab/>
        <w:t>The significance of cognitive phenomenology.</w:t>
      </w:r>
    </w:p>
    <w:p w14:paraId="6907C745" w14:textId="77777777" w:rsidR="00E36AC8" w:rsidRDefault="00E36AC8">
      <w:pPr>
        <w:ind w:left="720" w:hanging="720"/>
      </w:pPr>
      <w:r>
        <w:t>7.</w:t>
      </w:r>
      <w:r>
        <w:tab/>
        <w:t>The temporality of thought.</w:t>
      </w:r>
    </w:p>
    <w:p w14:paraId="6A74960E" w14:textId="77777777" w:rsidR="00E36AC8" w:rsidRDefault="00E36AC8">
      <w:pPr>
        <w:ind w:left="720" w:hanging="720"/>
      </w:pPr>
      <w:r>
        <w:t>8.</w:t>
      </w:r>
      <w:r>
        <w:tab/>
        <w:t>The epistemic role of consciousness.</w:t>
      </w:r>
    </w:p>
    <w:p w14:paraId="15AD77D2" w14:textId="77777777" w:rsidR="00E36AC8" w:rsidRDefault="00E36AC8">
      <w:pPr>
        <w:ind w:left="720" w:hanging="720"/>
      </w:pPr>
      <w:r>
        <w:t>9.</w:t>
      </w:r>
      <w:r>
        <w:tab/>
        <w:t>The epistemic and rational roles of cognitive experience.</w:t>
      </w:r>
    </w:p>
    <w:p w14:paraId="3ADA79DF" w14:textId="77777777" w:rsidR="00E36AC8" w:rsidRDefault="00E36AC8">
      <w:pPr>
        <w:ind w:left="720" w:hanging="720"/>
      </w:pPr>
      <w:r>
        <w:t>10.</w:t>
      </w:r>
      <w:r>
        <w:tab/>
        <w:t>The “Phenomenal Intentionality” research program.</w:t>
      </w:r>
    </w:p>
    <w:p w14:paraId="6A823DE5" w14:textId="77777777" w:rsidR="00E36AC8" w:rsidRDefault="00E36AC8"/>
    <w:p w14:paraId="218D6AE3" w14:textId="77777777" w:rsidR="00E36AC8" w:rsidRDefault="00E36AC8">
      <w:pPr>
        <w:tabs>
          <w:tab w:val="center" w:pos="4680"/>
        </w:tabs>
      </w:pPr>
      <w:r>
        <w:rPr>
          <w:i/>
        </w:rPr>
        <w:tab/>
        <w:t>Tentative Course Schedule</w:t>
      </w:r>
    </w:p>
    <w:p w14:paraId="494A4122" w14:textId="77777777" w:rsidR="00E36AC8" w:rsidRDefault="00E36AC8"/>
    <w:p w14:paraId="40B197CF" w14:textId="77777777" w:rsidR="00E36AC8" w:rsidRDefault="00E36AC8">
      <w:pPr>
        <w:jc w:val="center"/>
        <w:rPr>
          <w:b/>
        </w:rPr>
      </w:pPr>
      <w:r>
        <w:rPr>
          <w:i/>
        </w:rPr>
        <w:t>All sessions will be interactive and discussion-based.</w:t>
      </w:r>
    </w:p>
    <w:p w14:paraId="7819AD99" w14:textId="77777777" w:rsidR="00E36AC8" w:rsidRDefault="00E36AC8">
      <w:pPr>
        <w:widowControl w:val="0"/>
      </w:pPr>
    </w:p>
    <w:p w14:paraId="0C25B8C7" w14:textId="77777777" w:rsidR="00E36AC8" w:rsidRDefault="00E36AC8">
      <w:pPr>
        <w:widowControl w:val="0"/>
      </w:pPr>
      <w:r>
        <w:rPr>
          <w:b/>
          <w:smallCaps/>
        </w:rPr>
        <w:t>Charles Siewert (Sessions 2-4)</w:t>
      </w:r>
    </w:p>
    <w:p w14:paraId="1E2E56E1" w14:textId="77777777" w:rsidR="00E36AC8" w:rsidRDefault="00E36AC8">
      <w:pPr>
        <w:widowControl w:val="0"/>
      </w:pPr>
    </w:p>
    <w:p w14:paraId="72C7AC22" w14:textId="77777777" w:rsidR="00E36AC8" w:rsidRDefault="00E36AC8">
      <w:pPr>
        <w:widowControl w:val="0"/>
      </w:pPr>
      <w:r>
        <w:rPr>
          <w:b/>
        </w:rPr>
        <w:t>Lecture 1:  Why Understanding Is Included in Experience – and Why It Matters.</w:t>
      </w:r>
    </w:p>
    <w:p w14:paraId="71238F9B" w14:textId="77777777" w:rsidR="00E36AC8" w:rsidRDefault="00E36AC8">
      <w:pPr>
        <w:widowControl w:val="0"/>
      </w:pPr>
    </w:p>
    <w:p w14:paraId="7C4925DD" w14:textId="77777777" w:rsidR="00E36AC8" w:rsidRDefault="00E36AC8">
      <w:pPr>
        <w:widowControl w:val="0"/>
      </w:pPr>
      <w:r>
        <w:t>Some discussions of “cognitive phenomenology” focus on whether there is a purely non-sensory type of phenomenal character.  But I argue that the basic question is not whether we have some form of experience that would be the same were everything sensory or affective stripped from it. Rather, the question is whether the ways we occurrently understand what we're saying, hearing, reading and thinking can be switched off or switched around, while leaving what it's like for us to have experience just the same.  How we reply is significant, since it affects what we can count as a viable strategy for explaining subjective experience, what place we accord it in self-knowledge and in the mind, and what sort of value we take it to have for us.</w:t>
      </w:r>
    </w:p>
    <w:p w14:paraId="1D3E9988" w14:textId="77777777" w:rsidR="00E36AC8" w:rsidRDefault="00E36AC8">
      <w:pPr>
        <w:widowControl w:val="0"/>
      </w:pPr>
    </w:p>
    <w:p w14:paraId="0594AED5" w14:textId="77777777" w:rsidR="00E36AC8" w:rsidRDefault="00E36AC8">
      <w:pPr>
        <w:widowControl w:val="0"/>
      </w:pPr>
      <w:r>
        <w:t xml:space="preserve">My response to the issue implies that differences in understanding are included in the character of our experience.  This “inclusive” view opposes “restrictivism” of the sort advocated by Jesse Prinz, among others.  In this talk I will present an argument for being inclusive that I call "The Elusive Duplicate.”  It develops a conception of occurrent understanding, and of “what it’s likeness,” and applies this to reflection on the differences we experience when our understanding alters.  </w:t>
      </w:r>
    </w:p>
    <w:p w14:paraId="3403CC3D" w14:textId="77777777" w:rsidR="00E36AC8" w:rsidRDefault="00E36AC8">
      <w:pPr>
        <w:widowControl w:val="0"/>
      </w:pPr>
    </w:p>
    <w:p w14:paraId="10BF161B" w14:textId="77777777" w:rsidR="00E36AC8" w:rsidRDefault="00E36AC8">
      <w:pPr>
        <w:widowControl w:val="0"/>
      </w:pPr>
      <w:r>
        <w:rPr>
          <w:b/>
        </w:rPr>
        <w:t>Readings</w:t>
      </w:r>
    </w:p>
    <w:p w14:paraId="0DBFCA66" w14:textId="77777777" w:rsidR="00E36AC8" w:rsidRDefault="00E36AC8">
      <w:pPr>
        <w:widowControl w:val="0"/>
      </w:pPr>
    </w:p>
    <w:p w14:paraId="11C47490" w14:textId="77777777" w:rsidR="00E36AC8" w:rsidRDefault="00E36AC8">
      <w:pPr>
        <w:widowControl w:val="0"/>
        <w:ind w:left="720" w:hanging="720"/>
      </w:pPr>
      <w:r>
        <w:t>•</w:t>
      </w:r>
      <w:r>
        <w:tab/>
        <w:t xml:space="preserve">Prinz (2011) “The Sensory Basis of Cognitive Phenomenology,” in Bayne and Montague, </w:t>
      </w:r>
      <w:r>
        <w:rPr>
          <w:i/>
        </w:rPr>
        <w:t>Cognitive Phenomenology</w:t>
      </w:r>
      <w:r>
        <w:t>, Oxford University Press.</w:t>
      </w:r>
    </w:p>
    <w:p w14:paraId="38B8730F" w14:textId="77777777" w:rsidR="00E36AC8" w:rsidRDefault="00E36AC8">
      <w:pPr>
        <w:widowControl w:val="0"/>
        <w:ind w:left="720" w:hanging="720"/>
      </w:pPr>
      <w:r>
        <w:t>•</w:t>
      </w:r>
      <w:r>
        <w:tab/>
        <w:t xml:space="preserve">Siewert, manuscript for </w:t>
      </w:r>
      <w:r>
        <w:rPr>
          <w:i/>
        </w:rPr>
        <w:t>Subjectivity and Understanding</w:t>
      </w:r>
      <w:r>
        <w:t>, “Understanding Included” (from Sections 1-4)</w:t>
      </w:r>
    </w:p>
    <w:p w14:paraId="1722C983" w14:textId="77777777" w:rsidR="00E36AC8" w:rsidRDefault="00E36AC8">
      <w:pPr>
        <w:widowControl w:val="0"/>
      </w:pPr>
      <w:r>
        <w:rPr>
          <w:b/>
        </w:rPr>
        <w:t>Lecture 2:  How is the Experience of Thinking Related to its Content?</w:t>
      </w:r>
    </w:p>
    <w:p w14:paraId="2C996FDF" w14:textId="77777777" w:rsidR="00E36AC8" w:rsidRDefault="00E36AC8">
      <w:pPr>
        <w:widowControl w:val="0"/>
      </w:pPr>
    </w:p>
    <w:p w14:paraId="15658A37" w14:textId="77777777" w:rsidR="00E36AC8" w:rsidRDefault="00E36AC8">
      <w:pPr>
        <w:widowControl w:val="0"/>
      </w:pPr>
      <w:r>
        <w:lastRenderedPageBreak/>
        <w:t xml:space="preserve">Once we see that differences in ways of understanding are included in the character of our experience, we can properly consider just how these relate to differences in what is thought and said-to content. “Content” may be variously construed.  I will argue that there is a viable conception of content on which it varies with phenomenal character, even if we also allow for ways of individuating contents on which these do not coincide with subjectively experienced differences. But we should avoid thinking of experienced thought as a perception-like acquaintance with contents or parts of contents.  Here I contrast my view with that of another friend of cognitive phenomenology, Angela Mendelovici. </w:t>
      </w:r>
    </w:p>
    <w:p w14:paraId="73742F67" w14:textId="77777777" w:rsidR="00E36AC8" w:rsidRDefault="00E36AC8">
      <w:pPr>
        <w:widowControl w:val="0"/>
      </w:pPr>
    </w:p>
    <w:p w14:paraId="4B4B70F0" w14:textId="77777777" w:rsidR="00E36AC8" w:rsidRDefault="00E36AC8">
      <w:pPr>
        <w:widowControl w:val="0"/>
      </w:pPr>
      <w:r>
        <w:rPr>
          <w:b/>
        </w:rPr>
        <w:t>Readings</w:t>
      </w:r>
    </w:p>
    <w:p w14:paraId="28387E08" w14:textId="77777777" w:rsidR="00E36AC8" w:rsidRDefault="00E36AC8">
      <w:pPr>
        <w:widowControl w:val="0"/>
      </w:pPr>
    </w:p>
    <w:p w14:paraId="1A47C064" w14:textId="77777777" w:rsidR="00E36AC8" w:rsidRDefault="00E36AC8">
      <w:pPr>
        <w:widowControl w:val="0"/>
        <w:ind w:left="720" w:hanging="720"/>
      </w:pPr>
      <w:r>
        <w:t>•</w:t>
      </w:r>
      <w:r>
        <w:tab/>
        <w:t xml:space="preserve">Mendelovici (2018) </w:t>
      </w:r>
      <w:r>
        <w:rPr>
          <w:i/>
        </w:rPr>
        <w:t>The Phenomenal Basis of Intentionality</w:t>
      </w:r>
      <w:r>
        <w:t>, Oxford University Press, 81-93, 123-159.</w:t>
      </w:r>
    </w:p>
    <w:p w14:paraId="4DAC7ABE" w14:textId="77777777" w:rsidR="00E36AC8" w:rsidRDefault="00E36AC8">
      <w:pPr>
        <w:widowControl w:val="0"/>
        <w:ind w:left="720" w:hanging="720"/>
      </w:pPr>
      <w:r>
        <w:t>•</w:t>
      </w:r>
      <w:r>
        <w:tab/>
        <w:t xml:space="preserve">Siewert, manuscript for </w:t>
      </w:r>
      <w:r>
        <w:rPr>
          <w:i/>
        </w:rPr>
        <w:t>Subjectivity and Understanding</w:t>
      </w:r>
      <w:r>
        <w:t>, “Content, Concepts, and the Experience of Thinking”</w:t>
      </w:r>
    </w:p>
    <w:p w14:paraId="6CEDB0A0" w14:textId="77777777" w:rsidR="00E36AC8" w:rsidRDefault="00E36AC8">
      <w:pPr>
        <w:widowControl w:val="0"/>
      </w:pPr>
    </w:p>
    <w:p w14:paraId="759DCFA6" w14:textId="77777777" w:rsidR="00E36AC8" w:rsidRDefault="00E36AC8">
      <w:pPr>
        <w:widowControl w:val="0"/>
      </w:pPr>
      <w:r>
        <w:rPr>
          <w:b/>
        </w:rPr>
        <w:t xml:space="preserve">Lecture 3:  Thought’s Temporality and the Experience of Self-Expression. </w:t>
      </w:r>
    </w:p>
    <w:p w14:paraId="4234184D" w14:textId="77777777" w:rsidR="00E36AC8" w:rsidRDefault="00E36AC8">
      <w:pPr>
        <w:widowControl w:val="0"/>
      </w:pPr>
    </w:p>
    <w:p w14:paraId="63952BB2" w14:textId="77777777" w:rsidR="00E36AC8" w:rsidRDefault="00E36AC8">
      <w:pPr>
        <w:widowControl w:val="0"/>
      </w:pPr>
      <w:r>
        <w:t>Michael Tye and Briggs Wright have argued we should exclude conceptual activity from experience, on the grounds that the way each exists in time rules out its inclusion. I argue that there is a conception of the temporality of experienced thought that they neglect, manifest in the experience of unpremeditated verbal self-expression. What it's like for us to begin the expression of a thought semantically constrains, without determining, its proper completion. I will argue that the phenomenal character of this anticipatory experience is not intelligible independently of its constituting the initiation of a thought.</w:t>
      </w:r>
    </w:p>
    <w:p w14:paraId="6CBA30D1" w14:textId="77777777" w:rsidR="00E36AC8" w:rsidRDefault="00E36AC8">
      <w:pPr>
        <w:widowControl w:val="0"/>
      </w:pPr>
    </w:p>
    <w:p w14:paraId="3DEFA402" w14:textId="77777777" w:rsidR="00E36AC8" w:rsidRDefault="00E36AC8">
      <w:pPr>
        <w:widowControl w:val="0"/>
      </w:pPr>
      <w:r>
        <w:t>Rightly understood, this phenomenon provides both a conception of the temporality of experience (of how it can "take time to think") and a new argument for being inclusive. It also suggests a way in which our moral status is rooted in consciousness. Because of the way our experience makes us self-expressive, we make ourselves accountable for what we think. In making ourselves accountable for what we think, we become entitled to a distinctive kind of respect.</w:t>
      </w:r>
    </w:p>
    <w:p w14:paraId="2D73B1BA" w14:textId="77777777" w:rsidR="00E36AC8" w:rsidRDefault="00E36AC8">
      <w:pPr>
        <w:widowControl w:val="0"/>
      </w:pPr>
    </w:p>
    <w:p w14:paraId="4A75ED9C" w14:textId="77777777" w:rsidR="00E36AC8" w:rsidRDefault="00E36AC8">
      <w:pPr>
        <w:widowControl w:val="0"/>
      </w:pPr>
      <w:r>
        <w:rPr>
          <w:b/>
        </w:rPr>
        <w:t>Readings</w:t>
      </w:r>
    </w:p>
    <w:p w14:paraId="292946A0" w14:textId="77777777" w:rsidR="00E36AC8" w:rsidRDefault="00E36AC8">
      <w:pPr>
        <w:widowControl w:val="0"/>
      </w:pPr>
    </w:p>
    <w:p w14:paraId="2F873082" w14:textId="77777777" w:rsidR="00E36AC8" w:rsidRDefault="00E36AC8">
      <w:pPr>
        <w:widowControl w:val="0"/>
        <w:ind w:left="720" w:hanging="720"/>
      </w:pPr>
      <w:r>
        <w:t>•</w:t>
      </w:r>
      <w:r>
        <w:tab/>
        <w:t xml:space="preserve">Siewert (manuscript for </w:t>
      </w:r>
      <w:r>
        <w:rPr>
          <w:i/>
        </w:rPr>
        <w:t>Subjectivity and Understanding</w:t>
      </w:r>
      <w:r>
        <w:t>) “Understanding Included” (Section 7)</w:t>
      </w:r>
    </w:p>
    <w:p w14:paraId="705CB088" w14:textId="77777777" w:rsidR="00E36AC8" w:rsidRDefault="00E36AC8">
      <w:pPr>
        <w:widowControl w:val="0"/>
        <w:ind w:left="720" w:hanging="720"/>
      </w:pPr>
      <w:r>
        <w:t>•</w:t>
      </w:r>
      <w:r>
        <w:tab/>
        <w:t xml:space="preserve">Tye and Wright (2011) “Is There a Phenomenology of Thought?” in Bayne and Montague, </w:t>
      </w:r>
      <w:r>
        <w:rPr>
          <w:i/>
        </w:rPr>
        <w:t>Cognitive Phenomenology</w:t>
      </w:r>
      <w:r>
        <w:t>, Oxford University Press.</w:t>
      </w:r>
    </w:p>
    <w:p w14:paraId="2EED5249" w14:textId="77777777" w:rsidR="00E36AC8" w:rsidRDefault="00E36AC8">
      <w:pPr>
        <w:widowControl w:val="0"/>
      </w:pPr>
    </w:p>
    <w:p w14:paraId="617A7E2E" w14:textId="77777777" w:rsidR="00E36AC8" w:rsidRDefault="00E36AC8">
      <w:pPr>
        <w:widowControl w:val="0"/>
      </w:pPr>
    </w:p>
    <w:p w14:paraId="33478560" w14:textId="77777777" w:rsidR="00E36AC8" w:rsidRDefault="00E36AC8">
      <w:pPr>
        <w:widowControl w:val="0"/>
      </w:pPr>
    </w:p>
    <w:p w14:paraId="59D48578" w14:textId="77777777" w:rsidR="00E36AC8" w:rsidRDefault="00E36AC8">
      <w:pPr>
        <w:widowControl w:val="0"/>
      </w:pPr>
    </w:p>
    <w:p w14:paraId="49114561" w14:textId="77777777" w:rsidR="00E36AC8" w:rsidRDefault="00E36AC8">
      <w:pPr>
        <w:widowControl w:val="0"/>
      </w:pPr>
    </w:p>
    <w:p w14:paraId="369F6C96" w14:textId="77777777" w:rsidR="00E36AC8" w:rsidRDefault="00E36AC8">
      <w:pPr>
        <w:widowControl w:val="0"/>
      </w:pPr>
      <w:r>
        <w:rPr>
          <w:b/>
          <w:smallCaps/>
        </w:rPr>
        <w:t>Angela Mendelovici (Sessions 5-7)</w:t>
      </w:r>
    </w:p>
    <w:p w14:paraId="1D1581DF" w14:textId="77777777" w:rsidR="00E36AC8" w:rsidRDefault="00E36AC8">
      <w:pPr>
        <w:widowControl w:val="0"/>
      </w:pPr>
    </w:p>
    <w:p w14:paraId="5D241782" w14:textId="77777777" w:rsidR="00E36AC8" w:rsidRDefault="00E36AC8">
      <w:pPr>
        <w:widowControl w:val="0"/>
      </w:pPr>
      <w:r>
        <w:rPr>
          <w:b/>
        </w:rPr>
        <w:lastRenderedPageBreak/>
        <w:t>Lecture 1:  Phenomenal Intentionality and Cognitive Phenomenology.</w:t>
      </w:r>
    </w:p>
    <w:p w14:paraId="4CA6CBB7" w14:textId="77777777" w:rsidR="00E36AC8" w:rsidRDefault="00E36AC8">
      <w:pPr>
        <w:widowControl w:val="0"/>
      </w:pPr>
    </w:p>
    <w:p w14:paraId="35E1FE21" w14:textId="77777777" w:rsidR="00E36AC8" w:rsidRDefault="00E36AC8">
      <w:pPr>
        <w:widowControl w:val="0"/>
      </w:pPr>
      <w:r>
        <w:rPr>
          <w:b/>
        </w:rPr>
        <w:t>Reading</w:t>
      </w:r>
    </w:p>
    <w:p w14:paraId="39DEF8E0" w14:textId="77777777" w:rsidR="00E36AC8" w:rsidRDefault="00E36AC8">
      <w:pPr>
        <w:widowControl w:val="0"/>
      </w:pPr>
      <w:r>
        <w:t xml:space="preserve"> </w:t>
      </w:r>
    </w:p>
    <w:p w14:paraId="39FE8EC1" w14:textId="77777777" w:rsidR="00E36AC8" w:rsidRDefault="00E36AC8">
      <w:pPr>
        <w:widowControl w:val="0"/>
        <w:ind w:left="720" w:hanging="720"/>
      </w:pPr>
      <w:r>
        <w:t>•</w:t>
      </w:r>
      <w:r>
        <w:tab/>
        <w:t xml:space="preserve">Chapters 5 and 7 of Mendelovici (2018), </w:t>
      </w:r>
      <w:r>
        <w:rPr>
          <w:i/>
        </w:rPr>
        <w:t>The Phenomenal Basis of Intentionality</w:t>
      </w:r>
      <w:r>
        <w:t xml:space="preserve">, Oxford University Press. </w:t>
      </w:r>
    </w:p>
    <w:p w14:paraId="75B752BC" w14:textId="77777777" w:rsidR="00E36AC8" w:rsidRDefault="00E36AC8">
      <w:pPr>
        <w:widowControl w:val="0"/>
      </w:pPr>
    </w:p>
    <w:p w14:paraId="14EDE139" w14:textId="77777777" w:rsidR="00E36AC8" w:rsidRDefault="00E36AC8">
      <w:pPr>
        <w:widowControl w:val="0"/>
      </w:pPr>
      <w:r>
        <w:rPr>
          <w:i/>
        </w:rPr>
        <w:t>Optional Readings</w:t>
      </w:r>
    </w:p>
    <w:p w14:paraId="04E602FB" w14:textId="77777777" w:rsidR="00E36AC8" w:rsidRDefault="00E36AC8">
      <w:pPr>
        <w:widowControl w:val="0"/>
      </w:pPr>
    </w:p>
    <w:p w14:paraId="070CFE4D" w14:textId="77777777" w:rsidR="00E36AC8" w:rsidRDefault="00E36AC8">
      <w:pPr>
        <w:widowControl w:val="0"/>
        <w:ind w:left="720" w:hanging="720"/>
      </w:pPr>
      <w:r>
        <w:t>•</w:t>
      </w:r>
      <w:r>
        <w:tab/>
        <w:t>Chaps 1 and 2</w:t>
      </w:r>
    </w:p>
    <w:p w14:paraId="18847C68" w14:textId="77777777" w:rsidR="00E36AC8" w:rsidRDefault="00E36AC8">
      <w:pPr>
        <w:widowControl w:val="0"/>
      </w:pPr>
    </w:p>
    <w:p w14:paraId="2DA5709B" w14:textId="77777777" w:rsidR="00E36AC8" w:rsidRDefault="00E36AC8">
      <w:pPr>
        <w:widowControl w:val="0"/>
      </w:pPr>
      <w:r>
        <w:t xml:space="preserve">According to the phenomenal intentionality theory (PIT), there is a basic kind of intentionality that is nothing over and above phenomenal consciousness and all other kinds of intentionality derive from it. In this talk, I overview some of the motivations for PIT and some of the objections it faces in the case of thought. I argue for a moderate view of cognitive phenomenology on which many of the alleged contents of thoughts are derived from fairly impoverished phenomenal contents that are constituted by thoughts' fairly impoverished phenomenal characters. </w:t>
      </w:r>
    </w:p>
    <w:p w14:paraId="3EDDC772" w14:textId="77777777" w:rsidR="00E36AC8" w:rsidRDefault="00E36AC8">
      <w:pPr>
        <w:widowControl w:val="0"/>
      </w:pPr>
    </w:p>
    <w:p w14:paraId="5D3931C9" w14:textId="77777777" w:rsidR="00E36AC8" w:rsidRDefault="00E36AC8">
      <w:pPr>
        <w:widowControl w:val="0"/>
      </w:pPr>
      <w:r>
        <w:rPr>
          <w:b/>
        </w:rPr>
        <w:t>Lecture 2:  Relational and Non-Relational Views of Phenomenal Intentionality I: For the Relation View (David Bourget).</w:t>
      </w:r>
    </w:p>
    <w:p w14:paraId="7637CFE5" w14:textId="77777777" w:rsidR="00E36AC8" w:rsidRDefault="00E36AC8">
      <w:pPr>
        <w:widowControl w:val="0"/>
      </w:pPr>
    </w:p>
    <w:p w14:paraId="562F8943" w14:textId="77777777" w:rsidR="00E36AC8" w:rsidRDefault="00E36AC8">
      <w:pPr>
        <w:widowControl w:val="0"/>
      </w:pPr>
      <w:r>
        <w:t xml:space="preserve">According to the relation view, intentionality is a relation between minds or mental states and distinctly existing contents. According to the aspect view, intentionality is a non-relational feature of minds or mental states, which are their contents. PIT is compatible with both the relation and the aspect view of intentionality, with some phenomenal intentionalists favoring a relation view (e.g., Adam Pautz and David Bourget) and others favoring an aspect view (e.g., David Pitt, Uriah Kriegel, and Angela Mendelovici). This and the next lecture consider the cases for and against both views. </w:t>
      </w:r>
    </w:p>
    <w:p w14:paraId="78B1BFF4" w14:textId="77777777" w:rsidR="00E36AC8" w:rsidRDefault="00E36AC8">
      <w:pPr>
        <w:widowControl w:val="0"/>
      </w:pPr>
    </w:p>
    <w:p w14:paraId="561DF411" w14:textId="77777777" w:rsidR="00E36AC8" w:rsidRDefault="00E36AC8">
      <w:pPr>
        <w:widowControl w:val="0"/>
      </w:pPr>
      <w:r>
        <w:t xml:space="preserve">This lecture considers some reasons to hold the relation view: First, phenomenal states appear relational when introspected. Second, we seem to have trouble describing intentional states without using relational language, as Jackson pointed out with the many-properties problem (and others have made clearer through more work on the semantics of perceptual ascriptions). Third, and most importantly, a relational view that takes phenomenal states to be states of acquaintance in Russell's sense is arguably required to make sense of how we can refer to the external world. </w:t>
      </w:r>
    </w:p>
    <w:p w14:paraId="562916E7" w14:textId="77777777" w:rsidR="00E36AC8" w:rsidRDefault="00E36AC8">
      <w:pPr>
        <w:widowControl w:val="0"/>
      </w:pPr>
    </w:p>
    <w:p w14:paraId="016076E3" w14:textId="77777777" w:rsidR="00E36AC8" w:rsidRDefault="00E36AC8">
      <w:pPr>
        <w:widowControl w:val="0"/>
      </w:pPr>
      <w:r>
        <w:rPr>
          <w:b/>
        </w:rPr>
        <w:t>Reading</w:t>
      </w:r>
    </w:p>
    <w:p w14:paraId="6CBD8335" w14:textId="77777777" w:rsidR="00E36AC8" w:rsidRDefault="00E36AC8">
      <w:pPr>
        <w:widowControl w:val="0"/>
      </w:pPr>
    </w:p>
    <w:p w14:paraId="3D5F708E" w14:textId="77777777" w:rsidR="00E36AC8" w:rsidRDefault="00E36AC8">
      <w:pPr>
        <w:widowControl w:val="0"/>
        <w:ind w:left="720" w:hanging="720"/>
      </w:pPr>
      <w:r>
        <w:t>•</w:t>
      </w:r>
      <w:r>
        <w:tab/>
        <w:t>Bourget, “Implications of Intensional Perceptual Ascriptions for Relationalism, Disjunctivism, and Representationalism About Perceptual Experience”</w:t>
      </w:r>
    </w:p>
    <w:p w14:paraId="116DD6F9" w14:textId="77777777" w:rsidR="00E36AC8" w:rsidRDefault="00E36AC8">
      <w:pPr>
        <w:widowControl w:val="0"/>
        <w:ind w:left="720" w:hanging="720"/>
      </w:pPr>
      <w:r>
        <w:t>•</w:t>
      </w:r>
      <w:r>
        <w:tab/>
        <w:t xml:space="preserve">Chap 9 of </w:t>
      </w:r>
      <w:r>
        <w:rPr>
          <w:i/>
        </w:rPr>
        <w:t>The Phenomenal Basis of Intentionalit</w:t>
      </w:r>
      <w:r>
        <w:t>y</w:t>
      </w:r>
    </w:p>
    <w:p w14:paraId="3DDCCAB3" w14:textId="77777777" w:rsidR="00E36AC8" w:rsidRDefault="00E36AC8">
      <w:pPr>
        <w:widowControl w:val="0"/>
      </w:pPr>
      <w:r>
        <w:rPr>
          <w:i/>
        </w:rPr>
        <w:t>Optional readings</w:t>
      </w:r>
    </w:p>
    <w:p w14:paraId="5A59105D" w14:textId="77777777" w:rsidR="00E36AC8" w:rsidRDefault="00E36AC8">
      <w:pPr>
        <w:widowControl w:val="0"/>
      </w:pPr>
    </w:p>
    <w:p w14:paraId="25D5A9BC" w14:textId="77777777" w:rsidR="00E36AC8" w:rsidRDefault="00E36AC8">
      <w:pPr>
        <w:widowControl w:val="0"/>
        <w:ind w:left="720" w:hanging="720"/>
      </w:pPr>
      <w:r>
        <w:t>•</w:t>
      </w:r>
      <w:r>
        <w:tab/>
        <w:t>Kriegel, “The Dispensability of (Merely) Intentional Objects”</w:t>
      </w:r>
    </w:p>
    <w:p w14:paraId="10DD64FF" w14:textId="77777777" w:rsidR="00E36AC8" w:rsidRDefault="00E36AC8">
      <w:pPr>
        <w:widowControl w:val="0"/>
        <w:ind w:left="720" w:hanging="720"/>
      </w:pPr>
      <w:r>
        <w:t>•</w:t>
      </w:r>
      <w:r>
        <w:tab/>
        <w:t>Loar, “Transparent Experience and the Availability of Qualia”</w:t>
      </w:r>
    </w:p>
    <w:p w14:paraId="187839FF" w14:textId="77777777" w:rsidR="00E36AC8" w:rsidRDefault="00E36AC8">
      <w:pPr>
        <w:widowControl w:val="0"/>
      </w:pPr>
    </w:p>
    <w:p w14:paraId="57559752" w14:textId="77777777" w:rsidR="00E36AC8" w:rsidRDefault="00E36AC8">
      <w:pPr>
        <w:widowControl w:val="0"/>
      </w:pPr>
    </w:p>
    <w:p w14:paraId="099AFAA9" w14:textId="77777777" w:rsidR="00E36AC8" w:rsidRDefault="00E36AC8">
      <w:pPr>
        <w:widowControl w:val="0"/>
      </w:pPr>
      <w:r>
        <w:rPr>
          <w:b/>
        </w:rPr>
        <w:t>Lecture 3:  Relational and Non-Relational Views of Phenomenal Intentionality II: For the Aspect View (Angela Mendelovici).</w:t>
      </w:r>
    </w:p>
    <w:p w14:paraId="198EDF04" w14:textId="77777777" w:rsidR="00E36AC8" w:rsidRDefault="00E36AC8">
      <w:pPr>
        <w:widowControl w:val="0"/>
      </w:pPr>
    </w:p>
    <w:p w14:paraId="190E6A15" w14:textId="77777777" w:rsidR="00E36AC8" w:rsidRDefault="00E36AC8">
      <w:pPr>
        <w:widowControl w:val="0"/>
      </w:pPr>
      <w:r>
        <w:t xml:space="preserve">In this lecture, I make the case for the aspect view. There are several reasons to reject the relation view in favor of the aspect view: First, the relation view faces the inventory problem, the problem of accommodating the vast inventory of mental contents in terms of plausibly existing items we can get ourselves related to. Second, the relation view faces the Real Problem, the problem of making sense of how being related to something can make that thing a psychologically involved content. Third, the aspect view can arguably do all the explanatory work that the relation view can do but is more parsimonious. </w:t>
      </w:r>
    </w:p>
    <w:p w14:paraId="590861FF" w14:textId="77777777" w:rsidR="00E36AC8" w:rsidRDefault="00E36AC8">
      <w:pPr>
        <w:widowControl w:val="0"/>
      </w:pPr>
    </w:p>
    <w:p w14:paraId="31A46095" w14:textId="77777777" w:rsidR="00E36AC8" w:rsidRDefault="00E36AC8">
      <w:pPr>
        <w:widowControl w:val="0"/>
      </w:pPr>
      <w:r>
        <w:t xml:space="preserve">As discussed in the previous lecture, one important worry with the aspect view is that it cannot account for how intentional states can refer to the world. I argue that while we should not take for granted that we refer to the external world, the aspect view can indeed accommodate external world reference. </w:t>
      </w:r>
    </w:p>
    <w:p w14:paraId="0A1A1205" w14:textId="77777777" w:rsidR="00E36AC8" w:rsidRDefault="00E36AC8">
      <w:pPr>
        <w:widowControl w:val="0"/>
      </w:pPr>
    </w:p>
    <w:p w14:paraId="2531EDC9" w14:textId="77777777" w:rsidR="00E36AC8" w:rsidRDefault="00E36AC8">
      <w:pPr>
        <w:widowControl w:val="0"/>
      </w:pPr>
      <w:r>
        <w:rPr>
          <w:b/>
        </w:rPr>
        <w:t>Reading</w:t>
      </w:r>
    </w:p>
    <w:p w14:paraId="077BF2B1" w14:textId="77777777" w:rsidR="00E36AC8" w:rsidRDefault="00E36AC8">
      <w:pPr>
        <w:widowControl w:val="0"/>
      </w:pPr>
    </w:p>
    <w:p w14:paraId="391A2C65" w14:textId="77777777" w:rsidR="00E36AC8" w:rsidRDefault="00E36AC8">
      <w:pPr>
        <w:widowControl w:val="0"/>
        <w:ind w:left="720" w:hanging="720"/>
      </w:pPr>
      <w:r>
        <w:t>•</w:t>
      </w:r>
      <w:r>
        <w:tab/>
        <w:t>Same as Lecture 2</w:t>
      </w:r>
    </w:p>
    <w:p w14:paraId="3C25EC18" w14:textId="77777777" w:rsidR="00E36AC8" w:rsidRDefault="00E36AC8">
      <w:pPr>
        <w:widowControl w:val="0"/>
      </w:pPr>
    </w:p>
    <w:p w14:paraId="15DF208D" w14:textId="77777777" w:rsidR="00E36AC8" w:rsidRDefault="00E36AC8">
      <w:pPr>
        <w:widowControl w:val="0"/>
      </w:pPr>
    </w:p>
    <w:p w14:paraId="2BF06DCE" w14:textId="77777777" w:rsidR="00E36AC8" w:rsidRDefault="00E36AC8">
      <w:pPr>
        <w:widowControl w:val="0"/>
        <w:rPr>
          <w:b/>
        </w:rPr>
      </w:pPr>
      <w:r>
        <w:rPr>
          <w:b/>
          <w:smallCaps/>
        </w:rPr>
        <w:t>Howard Robinson (Sessions 8-10)</w:t>
      </w:r>
    </w:p>
    <w:p w14:paraId="41B15499" w14:textId="77777777" w:rsidR="00E36AC8" w:rsidRDefault="00E36AC8">
      <w:pPr>
        <w:widowControl w:val="0"/>
      </w:pPr>
    </w:p>
    <w:p w14:paraId="4B07467A" w14:textId="77777777" w:rsidR="00E36AC8" w:rsidRDefault="00E36AC8">
      <w:pPr>
        <w:widowControl w:val="0"/>
      </w:pPr>
      <w:r>
        <w:rPr>
          <w:b/>
        </w:rPr>
        <w:t>Lecture 1:  Cognitive Phenomenology:  An apophatic (Almost) Conception.</w:t>
      </w:r>
    </w:p>
    <w:p w14:paraId="71278870" w14:textId="77777777" w:rsidR="00E36AC8" w:rsidRDefault="00E36AC8">
      <w:pPr>
        <w:widowControl w:val="0"/>
      </w:pPr>
    </w:p>
    <w:p w14:paraId="14AA33E4" w14:textId="77777777" w:rsidR="00E36AC8" w:rsidRDefault="00E36AC8">
      <w:pPr>
        <w:widowControl w:val="0"/>
      </w:pPr>
      <w:r>
        <w:t>Our grasp  on the cognitive content of our mental states is (or can be) genuinely conscious. This means that it is not exhausted by any purely behavioral, functional or standard physicalist analysis. But what it is more than that is hard to say, such that terms such as ‘phenomenal’ and, more especially ‘qualitative’ should be avoided. In some sense  there is a direct grasp of – well, is it meaning or propositional content (is it tied to the meaning of a given language or not)?</w:t>
      </w:r>
    </w:p>
    <w:p w14:paraId="60956766" w14:textId="77777777" w:rsidR="00E36AC8" w:rsidRDefault="00E36AC8">
      <w:pPr>
        <w:widowControl w:val="0"/>
      </w:pPr>
    </w:p>
    <w:p w14:paraId="5EACAF63" w14:textId="77777777" w:rsidR="00E36AC8" w:rsidRDefault="00E36AC8">
      <w:pPr>
        <w:widowControl w:val="0"/>
      </w:pPr>
      <w:r>
        <w:rPr>
          <w:b/>
        </w:rPr>
        <w:t>Reading</w:t>
      </w:r>
    </w:p>
    <w:p w14:paraId="21D1420F" w14:textId="77777777" w:rsidR="00E36AC8" w:rsidRDefault="00E36AC8">
      <w:pPr>
        <w:widowControl w:val="0"/>
      </w:pPr>
    </w:p>
    <w:p w14:paraId="73DFEBCC" w14:textId="77777777" w:rsidR="00E36AC8" w:rsidRDefault="00E36AC8">
      <w:pPr>
        <w:widowControl w:val="0"/>
        <w:ind w:left="720" w:hanging="720"/>
      </w:pPr>
      <w:r>
        <w:t>•</w:t>
      </w:r>
      <w:r>
        <w:tab/>
        <w:t xml:space="preserve">Prinz, “The Sensory Basis of Cognitive Phenomenology,” in Bayne and Montague (eds.), </w:t>
      </w:r>
      <w:r>
        <w:rPr>
          <w:i/>
        </w:rPr>
        <w:t>Cognitive Phenomenology</w:t>
      </w:r>
      <w:r>
        <w:t>, Oxford University Press (2011).</w:t>
      </w:r>
    </w:p>
    <w:p w14:paraId="7065F3B5" w14:textId="77777777" w:rsidR="00E36AC8" w:rsidRDefault="00E36AC8">
      <w:pPr>
        <w:widowControl w:val="0"/>
      </w:pPr>
    </w:p>
    <w:p w14:paraId="124357AD" w14:textId="77777777" w:rsidR="00E36AC8" w:rsidRDefault="00E36AC8">
      <w:pPr>
        <w:widowControl w:val="0"/>
      </w:pPr>
      <w:r>
        <w:rPr>
          <w:b/>
        </w:rPr>
        <w:t>Lecture 2:  Thought and sensory experience.</w:t>
      </w:r>
    </w:p>
    <w:p w14:paraId="3C873122" w14:textId="77777777" w:rsidR="00E36AC8" w:rsidRDefault="00E36AC8">
      <w:pPr>
        <w:widowControl w:val="0"/>
      </w:pPr>
    </w:p>
    <w:p w14:paraId="2974C26A" w14:textId="77777777" w:rsidR="00E36AC8" w:rsidRDefault="00E36AC8">
      <w:pPr>
        <w:widowControl w:val="0"/>
      </w:pPr>
      <w:r>
        <w:t>The apparent fact that thought requires a sensory, or quasi-sensory (ie imagistic) vehicle, and that the paradigm cases of intelligibility are those in which we can exhibit meaning by ostension show that the perceptual faculty and the intellect are in some way interdependent. I hope to explore how this interdependence throws light on the nature of cognitive consciousness.</w:t>
      </w:r>
    </w:p>
    <w:p w14:paraId="7F5326E8" w14:textId="77777777" w:rsidR="00E36AC8" w:rsidRDefault="00E36AC8">
      <w:pPr>
        <w:widowControl w:val="0"/>
      </w:pPr>
    </w:p>
    <w:p w14:paraId="3408A0A5" w14:textId="77777777" w:rsidR="00E36AC8" w:rsidRDefault="00E36AC8">
      <w:pPr>
        <w:widowControl w:val="0"/>
      </w:pPr>
      <w:r>
        <w:rPr>
          <w:b/>
        </w:rPr>
        <w:t>Reading</w:t>
      </w:r>
    </w:p>
    <w:p w14:paraId="4A07B847" w14:textId="77777777" w:rsidR="00E36AC8" w:rsidRDefault="00E36AC8">
      <w:pPr>
        <w:widowControl w:val="0"/>
      </w:pPr>
    </w:p>
    <w:p w14:paraId="25354992" w14:textId="77777777" w:rsidR="00E36AC8" w:rsidRDefault="00E36AC8">
      <w:pPr>
        <w:widowControl w:val="0"/>
        <w:ind w:left="720" w:hanging="720"/>
      </w:pPr>
      <w:r>
        <w:t>•</w:t>
      </w:r>
      <w:r>
        <w:tab/>
        <w:t xml:space="preserve">John Foster, A. J. Ayer: </w:t>
      </w:r>
      <w:r>
        <w:rPr>
          <w:i/>
        </w:rPr>
        <w:t>The Arguments of the Philosophers</w:t>
      </w:r>
      <w:r>
        <w:t>, Pt I, “Meaning and Verification,” sections 1-4 (pp.1-38)</w:t>
      </w:r>
    </w:p>
    <w:p w14:paraId="08542E59" w14:textId="77777777" w:rsidR="00E36AC8" w:rsidRDefault="00E36AC8">
      <w:pPr>
        <w:widowControl w:val="0"/>
      </w:pPr>
    </w:p>
    <w:p w14:paraId="2082CAAD" w14:textId="77777777" w:rsidR="00E36AC8" w:rsidRDefault="00E36AC8">
      <w:pPr>
        <w:widowControl w:val="0"/>
      </w:pPr>
      <w:r>
        <w:rPr>
          <w:b/>
        </w:rPr>
        <w:t>Lecture 3:  How to understand what thought is.</w:t>
      </w:r>
    </w:p>
    <w:p w14:paraId="54A6071E" w14:textId="77777777" w:rsidR="00E36AC8" w:rsidRDefault="00E36AC8">
      <w:pPr>
        <w:widowControl w:val="0"/>
      </w:pPr>
    </w:p>
    <w:p w14:paraId="006BF38D" w14:textId="77777777" w:rsidR="00E36AC8" w:rsidRDefault="00E36AC8">
      <w:pPr>
        <w:widowControl w:val="0"/>
      </w:pPr>
      <w:r>
        <w:t>Aristotle uses the notion of form to  cover both the property in the world and the corresponding concept in thought. Something like this must be right if the world is not to be a kind of Kantian noumenon to us. What does this harmony between thought and the world show us about the nature of either or both of these?</w:t>
      </w:r>
    </w:p>
    <w:p w14:paraId="486B200B" w14:textId="77777777" w:rsidR="00E36AC8" w:rsidRDefault="00E36AC8">
      <w:pPr>
        <w:widowControl w:val="0"/>
      </w:pPr>
    </w:p>
    <w:p w14:paraId="50B92C33" w14:textId="77777777" w:rsidR="00E36AC8" w:rsidRDefault="00E36AC8">
      <w:pPr>
        <w:widowControl w:val="0"/>
      </w:pPr>
      <w:r>
        <w:rPr>
          <w:b/>
        </w:rPr>
        <w:t>Reading</w:t>
      </w:r>
    </w:p>
    <w:p w14:paraId="6AE17C89" w14:textId="77777777" w:rsidR="00E36AC8" w:rsidRDefault="00E36AC8">
      <w:pPr>
        <w:widowControl w:val="0"/>
      </w:pPr>
    </w:p>
    <w:p w14:paraId="67739611" w14:textId="77777777" w:rsidR="00E36AC8" w:rsidRDefault="00E36AC8">
      <w:pPr>
        <w:widowControl w:val="0"/>
        <w:ind w:left="720" w:hanging="720"/>
      </w:pPr>
      <w:r>
        <w:t>•</w:t>
      </w:r>
      <w:r>
        <w:tab/>
        <w:t xml:space="preserve">H. Robinson, “A Dualist Account of Embodiment,” in </w:t>
      </w:r>
      <w:r>
        <w:rPr>
          <w:i/>
        </w:rPr>
        <w:t>The Case for Dualism</w:t>
      </w:r>
      <w:r>
        <w:t>, edd. J. R. Smythies and J. Beloff, Virginia University Press, 1989, 43-57.</w:t>
      </w:r>
    </w:p>
    <w:p w14:paraId="58510595" w14:textId="77777777" w:rsidR="00E36AC8" w:rsidRDefault="00E36AC8">
      <w:pPr>
        <w:widowControl w:val="0"/>
      </w:pPr>
    </w:p>
    <w:p w14:paraId="37500530" w14:textId="77777777" w:rsidR="00E36AC8" w:rsidRDefault="00E36AC8">
      <w:pPr>
        <w:widowControl w:val="0"/>
      </w:pPr>
    </w:p>
    <w:p w14:paraId="13E3D709" w14:textId="77777777" w:rsidR="00E36AC8" w:rsidRDefault="00E36AC8">
      <w:pPr>
        <w:widowControl w:val="0"/>
      </w:pPr>
    </w:p>
    <w:p w14:paraId="26BD2A85" w14:textId="77777777" w:rsidR="00E36AC8" w:rsidRDefault="00E36AC8">
      <w:pPr>
        <w:widowControl w:val="0"/>
        <w:rPr>
          <w:b/>
        </w:rPr>
      </w:pPr>
      <w:r>
        <w:rPr>
          <w:b/>
          <w:smallCaps/>
        </w:rPr>
        <w:t>Marta Jorba (Sessions 11-13)</w:t>
      </w:r>
    </w:p>
    <w:p w14:paraId="4214F746" w14:textId="77777777" w:rsidR="00E36AC8" w:rsidRDefault="00E36AC8">
      <w:pPr>
        <w:widowControl w:val="0"/>
      </w:pPr>
    </w:p>
    <w:p w14:paraId="395F12CB" w14:textId="77777777" w:rsidR="00E36AC8" w:rsidRDefault="00E36AC8">
      <w:pPr>
        <w:widowControl w:val="0"/>
      </w:pPr>
      <w:r>
        <w:rPr>
          <w:b/>
        </w:rPr>
        <w:t>Lecture 1:  Conscious Thought Determination.</w:t>
      </w:r>
    </w:p>
    <w:p w14:paraId="0F60D1D6" w14:textId="77777777" w:rsidR="00E36AC8" w:rsidRDefault="00E36AC8">
      <w:pPr>
        <w:widowControl w:val="0"/>
      </w:pPr>
    </w:p>
    <w:p w14:paraId="105EBB4A" w14:textId="77777777" w:rsidR="00E36AC8" w:rsidRDefault="00E36AC8">
      <w:pPr>
        <w:widowControl w:val="0"/>
      </w:pPr>
      <w:r>
        <w:t xml:space="preserve">I will address the question of what determines the content of our conscious episodes of thinking. I consider phenomenal intentionality views vis-à-vis sensory inner speech views and present a third alternative approach, which explains content determination in terms of linguistic structures and representations and that can account both for linguistic thinking and unsymbolized thinking (thoughts without words or images), characterizing them as continuous phenomena. </w:t>
      </w:r>
    </w:p>
    <w:p w14:paraId="1D43B05F" w14:textId="77777777" w:rsidR="00E36AC8" w:rsidRDefault="00E36AC8">
      <w:pPr>
        <w:widowControl w:val="0"/>
      </w:pPr>
    </w:p>
    <w:p w14:paraId="48D1DF9D" w14:textId="77777777" w:rsidR="00E36AC8" w:rsidRDefault="00E36AC8">
      <w:pPr>
        <w:widowControl w:val="0"/>
      </w:pPr>
      <w:r>
        <w:rPr>
          <w:b/>
        </w:rPr>
        <w:t>Readings</w:t>
      </w:r>
    </w:p>
    <w:p w14:paraId="367C5F3B" w14:textId="77777777" w:rsidR="00E36AC8" w:rsidRDefault="00E36AC8">
      <w:pPr>
        <w:widowControl w:val="0"/>
      </w:pPr>
    </w:p>
    <w:p w14:paraId="5C5E2210" w14:textId="77777777" w:rsidR="00E36AC8" w:rsidRDefault="00E36AC8">
      <w:pPr>
        <w:widowControl w:val="0"/>
        <w:ind w:left="720" w:hanging="720"/>
      </w:pPr>
      <w:r>
        <w:t>•</w:t>
      </w:r>
      <w:r>
        <w:tab/>
        <w:t xml:space="preserve">Hurlburt, Russell and Akther, Sarah (2008). “Unsymbolized Thinking,” </w:t>
      </w:r>
      <w:r>
        <w:rPr>
          <w:i/>
        </w:rPr>
        <w:t>Consciousness and Cognition</w:t>
      </w:r>
      <w:r>
        <w:t xml:space="preserve"> 17: 1364-1374.</w:t>
      </w:r>
    </w:p>
    <w:p w14:paraId="224DB288" w14:textId="77777777" w:rsidR="00E36AC8" w:rsidRDefault="00E36AC8">
      <w:pPr>
        <w:widowControl w:val="0"/>
        <w:ind w:left="720" w:hanging="720"/>
      </w:pPr>
      <w:r>
        <w:t>•</w:t>
      </w:r>
      <w:r>
        <w:tab/>
        <w:t xml:space="preserve">Vicente, Agustín &amp; Jorba, Marta (2017). “The Linguistic Determination of Conscious Thought Content,” </w:t>
      </w:r>
      <w:r>
        <w:rPr>
          <w:i/>
        </w:rPr>
        <w:t>Noûs</w:t>
      </w:r>
      <w:r>
        <w:t>, DOI 10.1111/nous.12239</w:t>
      </w:r>
    </w:p>
    <w:p w14:paraId="19C6C268" w14:textId="77777777" w:rsidR="00E36AC8" w:rsidRDefault="00E36AC8">
      <w:pPr>
        <w:widowControl w:val="0"/>
      </w:pPr>
    </w:p>
    <w:p w14:paraId="791CCFB1" w14:textId="77777777" w:rsidR="00E36AC8" w:rsidRDefault="00E36AC8">
      <w:pPr>
        <w:widowControl w:val="0"/>
      </w:pPr>
      <w:r>
        <w:rPr>
          <w:b/>
        </w:rPr>
        <w:t>Lecture 2:  Phenomenal Contrast Arguments and Ontology.</w:t>
      </w:r>
    </w:p>
    <w:p w14:paraId="6158B72E" w14:textId="77777777" w:rsidR="00E36AC8" w:rsidRDefault="00E36AC8">
      <w:pPr>
        <w:widowControl w:val="0"/>
      </w:pPr>
    </w:p>
    <w:p w14:paraId="23783F8C" w14:textId="77777777" w:rsidR="00E36AC8" w:rsidRDefault="00E36AC8">
      <w:pPr>
        <w:widowControl w:val="0"/>
      </w:pPr>
      <w:r>
        <w:t>Phenomenal contrast arguments (PCAs) are normally employed as arguments showing that a certain mental feature contributes to (the phenomenal character of) experience, that certain contents are represented in experience and that kinds of sui generis phenomenologies such as cognitive phenomenology exist. In this lecture I examine a neglected aspect of such arguments, i.e., the ontological profile of the mental episodes involved in them, and argue that this happens to be a crucial feature of PCAs. I use linguistic tools to determine the lexical aspect of verbs and verb phrases-the tests for a/telicity and for duration-and argue that that most cases of PCAs show the presence of a generic achievement-like phenomenology.</w:t>
      </w:r>
    </w:p>
    <w:p w14:paraId="572A9D8C" w14:textId="77777777" w:rsidR="00E36AC8" w:rsidRDefault="00E36AC8">
      <w:pPr>
        <w:widowControl w:val="0"/>
      </w:pPr>
    </w:p>
    <w:p w14:paraId="18EAECD6" w14:textId="77777777" w:rsidR="00E36AC8" w:rsidRDefault="00E36AC8">
      <w:pPr>
        <w:widowControl w:val="0"/>
      </w:pPr>
      <w:r>
        <w:rPr>
          <w:b/>
        </w:rPr>
        <w:t>Readings</w:t>
      </w:r>
    </w:p>
    <w:p w14:paraId="078C9394" w14:textId="77777777" w:rsidR="00E36AC8" w:rsidRDefault="00E36AC8">
      <w:pPr>
        <w:widowControl w:val="0"/>
      </w:pPr>
    </w:p>
    <w:p w14:paraId="37065355" w14:textId="77777777" w:rsidR="00E36AC8" w:rsidRDefault="00E36AC8">
      <w:pPr>
        <w:widowControl w:val="0"/>
        <w:ind w:left="720" w:hanging="720"/>
      </w:pPr>
      <w:r>
        <w:t>•</w:t>
      </w:r>
      <w:r>
        <w:tab/>
        <w:t xml:space="preserve">Chudnoff, Elijah (2015). “Chapter 2: Contrast,” in Chudnoff, E. (2015). </w:t>
      </w:r>
      <w:r>
        <w:rPr>
          <w:i/>
        </w:rPr>
        <w:t>Cognitive Phenomenology</w:t>
      </w:r>
      <w:r>
        <w:t>, Routledge.</w:t>
      </w:r>
    </w:p>
    <w:p w14:paraId="08B7B10F" w14:textId="77777777" w:rsidR="00E36AC8" w:rsidRDefault="00E36AC8">
      <w:pPr>
        <w:widowControl w:val="0"/>
        <w:ind w:left="720" w:hanging="720"/>
      </w:pPr>
      <w:r>
        <w:t>•</w:t>
      </w:r>
      <w:r>
        <w:tab/>
        <w:t>Jorba, Marta &amp; Vicente, Agustín (ms). “Phenomenal Contrast Arguments and Achievement-like Phenomenology”</w:t>
      </w:r>
    </w:p>
    <w:p w14:paraId="0A104360" w14:textId="77777777" w:rsidR="00E36AC8" w:rsidRDefault="00E36AC8">
      <w:pPr>
        <w:widowControl w:val="0"/>
      </w:pPr>
    </w:p>
    <w:p w14:paraId="2CF572D2" w14:textId="77777777" w:rsidR="00E36AC8" w:rsidRDefault="00E36AC8">
      <w:pPr>
        <w:widowControl w:val="0"/>
      </w:pPr>
      <w:r>
        <w:rPr>
          <w:b/>
        </w:rPr>
        <w:t>Lecture 3:  Cognitive Horizon and Cognitive Affordances.</w:t>
      </w:r>
    </w:p>
    <w:p w14:paraId="5F42BDED" w14:textId="77777777" w:rsidR="00E36AC8" w:rsidRDefault="00E36AC8">
      <w:pPr>
        <w:widowControl w:val="0"/>
      </w:pPr>
    </w:p>
    <w:p w14:paraId="1E7D0C8F" w14:textId="77777777" w:rsidR="00E36AC8" w:rsidRDefault="00E36AC8">
      <w:pPr>
        <w:widowControl w:val="0"/>
      </w:pPr>
      <w:r>
        <w:t xml:space="preserve">The notion of horizon has received attention within scholars of Husserl's phenomenology in the domain of perceptual experience but there is no detailed and systematic examination of its applicability to thinking or cognition. The aim of this lecture is to explore the prospects of applying the concept of horizon to the cognitive domain. I argue, first, that the husserlian framework provides useful tools to describe a cognitive horizon-albeit in a slightly different way than the perceptual horizon. Second, I describe a specific exemplification of the cognitive horizon-that which presents possibilities for action-as a form of cognitive affordance. Third, I argue that postulating cognitive affordances helps unfolding a rational dimension of thinking by characterizing them as motivating reasons for action, which in turns provides an argument for the experienced character of cognitive affordances. </w:t>
      </w:r>
    </w:p>
    <w:p w14:paraId="3E578D29" w14:textId="77777777" w:rsidR="00E36AC8" w:rsidRDefault="00E36AC8">
      <w:pPr>
        <w:widowControl w:val="0"/>
      </w:pPr>
    </w:p>
    <w:p w14:paraId="3FCF351D" w14:textId="77777777" w:rsidR="00E36AC8" w:rsidRDefault="00E36AC8">
      <w:pPr>
        <w:widowControl w:val="0"/>
      </w:pPr>
      <w:r>
        <w:rPr>
          <w:b/>
        </w:rPr>
        <w:t>Readings</w:t>
      </w:r>
    </w:p>
    <w:p w14:paraId="0B355D80" w14:textId="77777777" w:rsidR="00E36AC8" w:rsidRDefault="00E36AC8">
      <w:pPr>
        <w:widowControl w:val="0"/>
      </w:pPr>
    </w:p>
    <w:p w14:paraId="1950A150" w14:textId="77777777" w:rsidR="00E36AC8" w:rsidRDefault="00E36AC8">
      <w:pPr>
        <w:widowControl w:val="0"/>
        <w:ind w:left="720" w:hanging="720"/>
      </w:pPr>
      <w:r>
        <w:t>•</w:t>
      </w:r>
      <w:r>
        <w:tab/>
        <w:t xml:space="preserve">Jorba, Marta (2016). “Attitudinal Cognitive Phenomenology and the Horizon of Possibilities,” in Breyer, T. and Gutland, Ch. (eds.) </w:t>
      </w:r>
      <w:r>
        <w:rPr>
          <w:i/>
        </w:rPr>
        <w:t>The Phenomenology of Thinking. Philosophical Investigations into the Character of Cognitive Experiences,</w:t>
      </w:r>
      <w:r>
        <w:t xml:space="preserve"> Routledge: 77-96. </w:t>
      </w:r>
    </w:p>
    <w:p w14:paraId="45493B2D" w14:textId="77777777" w:rsidR="00E36AC8" w:rsidRDefault="00E36AC8">
      <w:pPr>
        <w:widowControl w:val="0"/>
        <w:ind w:left="720" w:hanging="720"/>
      </w:pPr>
      <w:r>
        <w:t>•</w:t>
      </w:r>
      <w:r>
        <w:tab/>
        <w:t>Jorba, Marta (ms). “Husserlian Horizons, Cognitive Affordances and Motivating Reasons for Action”</w:t>
      </w:r>
    </w:p>
    <w:p w14:paraId="25700145" w14:textId="77777777" w:rsidR="00E36AC8" w:rsidRDefault="00E36AC8">
      <w:pPr>
        <w:widowControl w:val="0"/>
      </w:pPr>
    </w:p>
    <w:p w14:paraId="54ED7853" w14:textId="77777777" w:rsidR="00E36AC8" w:rsidRDefault="00E36AC8">
      <w:pPr>
        <w:widowControl w:val="0"/>
      </w:pPr>
    </w:p>
    <w:p w14:paraId="352DF433" w14:textId="77777777" w:rsidR="00E36AC8" w:rsidRDefault="00E36AC8">
      <w:pPr>
        <w:widowControl w:val="0"/>
      </w:pPr>
      <w:r>
        <w:rPr>
          <w:b/>
          <w:smallCaps/>
        </w:rPr>
        <w:t>Michelle Montague (Sessions 14-16)</w:t>
      </w:r>
    </w:p>
    <w:p w14:paraId="3EFE1F85" w14:textId="77777777" w:rsidR="00E36AC8" w:rsidRDefault="00BB6DB1">
      <w:pPr>
        <w:tabs>
          <w:tab w:val="left" w:pos="0"/>
          <w:tab w:val="center" w:pos="4320"/>
          <w:tab w:val="right" w:pos="8276"/>
        </w:tabs>
        <w:rPr>
          <w:sz w:val="20"/>
        </w:rPr>
      </w:pPr>
      <w:r>
        <w:rPr>
          <w:noProof/>
        </w:rPr>
        <w:pict w14:anchorId="2CDFB172">
          <v:shapetype id="_x0000_t202" coordsize="21600,21600" o:spt="202" path="m,l,21600r21600,l21600,xe">
            <v:stroke joinstyle="miter"/>
            <v:path gradientshapeok="t" o:connecttype="rect"/>
          </v:shapetype>
          <v:shape id="_x0000_s1026" type="#_x0000_t202" style="position:absolute;margin-left:467.95pt;margin-top:0;width:.05pt;height:14.15pt;z-index:251658240;mso-wrap-edited:f;mso-wrap-distance-left:.96pt;mso-wrap-distance-top:.96pt;mso-wrap-distance-right:.96pt;mso-wrap-distance-bottom:.96pt;mso-position-horizontal-relative:margin" o:allowincell="f" stroked="f">
            <v:textbox inset="0,0,0,0">
              <w:txbxContent>
                <w:p w14:paraId="1241DFF0" w14:textId="77777777" w:rsidR="00E36AC8" w:rsidRDefault="00E36AC8">
                  <w:pPr>
                    <w:pStyle w:val="Footer"/>
                    <w:widowControl w:val="0"/>
                  </w:pPr>
                </w:p>
              </w:txbxContent>
            </v:textbox>
            <w10:wrap type="square" side="largest" anchorx="margin"/>
          </v:shape>
        </w:pict>
      </w:r>
    </w:p>
    <w:p w14:paraId="360C06BC" w14:textId="77777777" w:rsidR="00E36AC8" w:rsidRDefault="00BB6DB1">
      <w:pPr>
        <w:pStyle w:val="Footer"/>
        <w:ind w:right="360"/>
        <w:rPr>
          <w:sz w:val="20"/>
        </w:rPr>
      </w:pPr>
      <w:r>
        <w:rPr>
          <w:noProof/>
        </w:rPr>
        <w:pict w14:anchorId="1CA72F38">
          <v:shape id="_x0000_s1027" type="#_x0000_t202" style="position:absolute;margin-left:467.95pt;margin-top:0;width:.05pt;height:14.15pt;z-index:251659264;mso-wrap-edited:f;mso-wrap-distance-left:.96pt;mso-wrap-distance-top:.96pt;mso-wrap-distance-right:.96pt;mso-wrap-distance-bottom:.96pt;mso-position-horizontal-relative:margin" o:allowincell="f" stroked="f">
            <v:textbox inset="0,0,0,0">
              <w:txbxContent>
                <w:p w14:paraId="0D684490" w14:textId="77777777" w:rsidR="00E36AC8" w:rsidRDefault="00E36AC8">
                  <w:pPr>
                    <w:pStyle w:val="Footer"/>
                    <w:widowControl w:val="0"/>
                  </w:pPr>
                </w:p>
                <w:p w14:paraId="741AFF75" w14:textId="77777777" w:rsidR="00E36AC8" w:rsidRDefault="00E36AC8">
                  <w:pPr>
                    <w:widowControl w:val="0"/>
                    <w:tabs>
                      <w:tab w:val="left" w:pos="0"/>
                      <w:tab w:val="center" w:pos="4320"/>
                      <w:tab w:val="right" w:pos="8636"/>
                    </w:tabs>
                    <w:rPr>
                      <w:sz w:val="20"/>
                    </w:rPr>
                  </w:pPr>
                </w:p>
              </w:txbxContent>
            </v:textbox>
            <w10:wrap type="square" side="largest" anchorx="margin"/>
          </v:shape>
        </w:pict>
      </w:r>
    </w:p>
    <w:p w14:paraId="066B36D6" w14:textId="77777777" w:rsidR="00E36AC8" w:rsidRDefault="00E36AC8">
      <w:pPr>
        <w:tabs>
          <w:tab w:val="left" w:pos="0"/>
          <w:tab w:val="center" w:pos="4320"/>
          <w:tab w:val="right" w:pos="8276"/>
        </w:tabs>
        <w:rPr>
          <w:b/>
          <w:sz w:val="20"/>
        </w:rPr>
      </w:pPr>
      <w:r>
        <w:rPr>
          <w:b/>
          <w:sz w:val="20"/>
        </w:rPr>
        <w:t>Lecture 1</w:t>
      </w:r>
      <w:r>
        <w:rPr>
          <w:sz w:val="20"/>
        </w:rPr>
        <w:t xml:space="preserve">:  </w:t>
      </w:r>
      <w:r>
        <w:rPr>
          <w:b/>
          <w:sz w:val="20"/>
        </w:rPr>
        <w:t>Cognitive phenomenology and Conscious Thought.</w:t>
      </w:r>
    </w:p>
    <w:p w14:paraId="5A236FBB" w14:textId="77777777" w:rsidR="00E36AC8" w:rsidRDefault="00E36AC8">
      <w:pPr>
        <w:tabs>
          <w:tab w:val="left" w:pos="0"/>
          <w:tab w:val="center" w:pos="4320"/>
          <w:tab w:val="right" w:pos="8276"/>
        </w:tabs>
        <w:rPr>
          <w:sz w:val="20"/>
        </w:rPr>
      </w:pPr>
    </w:p>
    <w:p w14:paraId="1C82376C" w14:textId="77777777" w:rsidR="00E36AC8" w:rsidRDefault="00E36AC8">
      <w:pPr>
        <w:widowControl w:val="0"/>
        <w:tabs>
          <w:tab w:val="left" w:pos="0"/>
          <w:tab w:val="center" w:pos="4320"/>
          <w:tab w:val="right" w:pos="8276"/>
        </w:tabs>
      </w:pPr>
      <w:r>
        <w:t xml:space="preserve">What makes a conscious thought conscious? I argue that conscious thought cannot be adequately characterized without appealing to a distinctive kind of non-sensory cognitive phenomenology. The chapter begins with a question: What distinguishes a conscious occurrent thought from a non-conscious occurrent thought (assuming there are non-conscious thoughts)? What features must be present for us to classify a thought as conscious? I argue that the notion of </w:t>
      </w:r>
      <w:r>
        <w:rPr>
          <w:b/>
        </w:rPr>
        <w:t>‘</w:t>
      </w:r>
      <w:r>
        <w:t xml:space="preserve"> access-consciousness’ cannot provide a satisfactory answer to this question, and that we must appeal to phenomenological properties. If this is right, a further question arises: What kind of phenomenological features are required? Can we give a satisfactory account of what makes an occurrent thought a conscious thought solely by reference to sensory phenomenology</w:t>
      </w:r>
      <w:r>
        <w:rPr>
          <w:b/>
        </w:rPr>
        <w:t>—</w:t>
      </w:r>
      <w:r>
        <w:t xml:space="preserve"> including both verbal and non-verbal imagery? I argue that we cannot. We must appeal to a distinctive kind of phenomenology, cognitive phenomenology, in order to say what conscious thought consists in.</w:t>
      </w:r>
    </w:p>
    <w:p w14:paraId="4A94DF95" w14:textId="77777777" w:rsidR="00E36AC8" w:rsidRDefault="00E36AC8">
      <w:pPr>
        <w:widowControl w:val="0"/>
        <w:tabs>
          <w:tab w:val="left" w:pos="0"/>
          <w:tab w:val="center" w:pos="4320"/>
          <w:tab w:val="right" w:pos="8276"/>
        </w:tabs>
        <w:rPr>
          <w:sz w:val="20"/>
        </w:rPr>
      </w:pPr>
    </w:p>
    <w:p w14:paraId="4C523D8E" w14:textId="77777777" w:rsidR="00E36AC8" w:rsidRDefault="00E36AC8">
      <w:pPr>
        <w:widowControl w:val="0"/>
        <w:tabs>
          <w:tab w:val="left" w:pos="0"/>
          <w:tab w:val="center" w:pos="4320"/>
          <w:tab w:val="right" w:pos="8276"/>
        </w:tabs>
        <w:rPr>
          <w:b/>
        </w:rPr>
      </w:pPr>
      <w:r>
        <w:rPr>
          <w:b/>
        </w:rPr>
        <w:t>Reading</w:t>
      </w:r>
    </w:p>
    <w:p w14:paraId="0A10560B" w14:textId="77777777" w:rsidR="00E36AC8" w:rsidRDefault="00E36AC8">
      <w:pPr>
        <w:widowControl w:val="0"/>
        <w:tabs>
          <w:tab w:val="left" w:pos="0"/>
          <w:tab w:val="center" w:pos="4320"/>
          <w:tab w:val="right" w:pos="8276"/>
        </w:tabs>
        <w:rPr>
          <w:u w:val="single"/>
        </w:rPr>
      </w:pPr>
    </w:p>
    <w:p w14:paraId="2FC1953A" w14:textId="77777777" w:rsidR="00E36AC8" w:rsidRDefault="00E36AC8">
      <w:pPr>
        <w:widowControl w:val="0"/>
        <w:tabs>
          <w:tab w:val="left" w:pos="0"/>
          <w:tab w:val="center" w:pos="4320"/>
          <w:tab w:val="right" w:pos="8276"/>
        </w:tabs>
      </w:pPr>
      <w:r>
        <w:t xml:space="preserve">•           M. Montague (2016) </w:t>
      </w:r>
      <w:r>
        <w:rPr>
          <w:i/>
        </w:rPr>
        <w:t>The Given: Experience and Its Content</w:t>
      </w:r>
      <w:r>
        <w:t>, ch 8. Oxford: Oxford                        University Press</w:t>
      </w:r>
    </w:p>
    <w:p w14:paraId="30869283" w14:textId="77777777" w:rsidR="00E36AC8" w:rsidRDefault="00E36AC8">
      <w:pPr>
        <w:tabs>
          <w:tab w:val="left" w:pos="0"/>
          <w:tab w:val="center" w:pos="4320"/>
          <w:tab w:val="right" w:pos="8276"/>
        </w:tabs>
      </w:pPr>
    </w:p>
    <w:p w14:paraId="35AF6729" w14:textId="77777777" w:rsidR="00E36AC8" w:rsidRDefault="00E36AC8">
      <w:pPr>
        <w:tabs>
          <w:tab w:val="left" w:pos="0"/>
          <w:tab w:val="center" w:pos="4320"/>
          <w:tab w:val="right" w:pos="8276"/>
        </w:tabs>
      </w:pPr>
    </w:p>
    <w:p w14:paraId="251552E2" w14:textId="77777777" w:rsidR="00E36AC8" w:rsidRDefault="00E36AC8">
      <w:pPr>
        <w:tabs>
          <w:tab w:val="left" w:pos="0"/>
          <w:tab w:val="center" w:pos="4320"/>
          <w:tab w:val="right" w:pos="8276"/>
        </w:tabs>
        <w:rPr>
          <w:b/>
        </w:rPr>
      </w:pPr>
      <w:r>
        <w:rPr>
          <w:b/>
        </w:rPr>
        <w:t>Lecture 2:  Cognitive Phenomenology, Sensory Phenomenology, and Rationality.</w:t>
      </w:r>
    </w:p>
    <w:p w14:paraId="3E196A6A" w14:textId="77777777" w:rsidR="00E36AC8" w:rsidRDefault="00E36AC8">
      <w:pPr>
        <w:tabs>
          <w:tab w:val="left" w:pos="0"/>
          <w:tab w:val="center" w:pos="4320"/>
          <w:tab w:val="right" w:pos="8276"/>
        </w:tabs>
      </w:pPr>
    </w:p>
    <w:p w14:paraId="701434D4" w14:textId="77777777" w:rsidR="00E36AC8" w:rsidRDefault="00E36AC8">
      <w:pPr>
        <w:tabs>
          <w:tab w:val="left" w:pos="0"/>
          <w:tab w:val="center" w:pos="4320"/>
          <w:tab w:val="right" w:pos="8276"/>
        </w:tabs>
        <w:rPr>
          <w:rFonts w:ascii="Times" w:hAnsi="Times"/>
        </w:rPr>
      </w:pPr>
      <w:r>
        <w:rPr>
          <w:rFonts w:ascii="Times" w:hAnsi="Times"/>
        </w:rPr>
        <w:t xml:space="preserve">Many have argued that cognitive phenomenology, a </w:t>
      </w:r>
      <w:r>
        <w:rPr>
          <w:rFonts w:ascii="Times" w:hAnsi="Times"/>
          <w:i/>
        </w:rPr>
        <w:t>sui generis</w:t>
      </w:r>
      <w:r>
        <w:rPr>
          <w:rFonts w:ascii="Times" w:hAnsi="Times"/>
        </w:rPr>
        <w:t xml:space="preserve"> non-sensory</w:t>
      </w:r>
      <w:r>
        <w:rPr>
          <w:rFonts w:ascii="Times" w:hAnsi="Times"/>
          <w:i/>
        </w:rPr>
        <w:t xml:space="preserve"> </w:t>
      </w:r>
      <w:r>
        <w:rPr>
          <w:rFonts w:ascii="Times" w:hAnsi="Times"/>
        </w:rPr>
        <w:t>kind of phenomenology, is necessary to account for what makes a conscious thought conscious. According to proponents of cognitive phenomenology, there is something it is like to think that London is having the warmest summer on record or to wonder if a life is worth living if one only experiences a small amount of pleasure, that is irreducible to any sensory phenomenology that may be associated with these thoughts. The existence of cognitive phenomenology calls for an extension in the way analytic philosophers have typically applied the term ‘phenomenology’, because although most accept the existence of sensory phenomenology, many have been skeptical about cognitive phenomenology.</w:t>
      </w:r>
    </w:p>
    <w:p w14:paraId="523B9E6D" w14:textId="77777777" w:rsidR="00E36AC8" w:rsidRDefault="00E36AC8">
      <w:pPr>
        <w:tabs>
          <w:tab w:val="left" w:pos="0"/>
          <w:tab w:val="center" w:pos="4320"/>
          <w:tab w:val="right" w:pos="8276"/>
        </w:tabs>
      </w:pPr>
    </w:p>
    <w:p w14:paraId="5439ADB6" w14:textId="77777777" w:rsidR="00E36AC8" w:rsidRDefault="00E36AC8">
      <w:pPr>
        <w:tabs>
          <w:tab w:val="left" w:pos="0"/>
          <w:tab w:val="center" w:pos="4320"/>
          <w:tab w:val="right" w:pos="8276"/>
        </w:tabs>
      </w:pPr>
      <w:r>
        <w:rPr>
          <w:rFonts w:ascii="Times" w:hAnsi="Times"/>
        </w:rPr>
        <w:t xml:space="preserve">One source of this skepticism involves concerns about how cognitive-phenomenological properties of thought modally relate to other mental properties of thought. It is not at all implausible to claim that sensory-phenomenological properties typically accompany conscious thought. My thought that grass is green may very well be accompanied by an image of ‘greenish’ phenomenology, or a whiff of freshly mowed grass. Thoughts also possess rational properties, both practical and theoretical. A conscious belief that there is beer in the fridge combined with a conscious desire for beer typically leads to going to the fridge to get a beer. It’s rational to infer the thought that it will rain from the thought that if there are clouds, then it will rain and the thought that there are clouds. </w:t>
      </w:r>
      <w:r>
        <w:t>Given this complexity of the kinds of mental properties conscious thoughts can have a question arises about how they are modally related. Can any cognitive-phenomenological property be combined with any sensory-phenomenological property given a particular conscious thought? Can any cognitive-phenomenological property be combined with any causal/functional property given a particular conscious thought? These questions are crucial for the overall debate concerning cognitive phenomenology, because they concern the inherent complexity of conscious thought, and any view that accepts cognitive phenomenology needs to incorporate this complexity.</w:t>
      </w:r>
    </w:p>
    <w:p w14:paraId="43CA1175" w14:textId="77777777" w:rsidR="00E36AC8" w:rsidRDefault="00E36AC8">
      <w:pPr>
        <w:widowControl w:val="0"/>
        <w:tabs>
          <w:tab w:val="left" w:pos="0"/>
          <w:tab w:val="center" w:pos="4320"/>
          <w:tab w:val="right" w:pos="8276"/>
        </w:tabs>
      </w:pPr>
    </w:p>
    <w:p w14:paraId="3A0C9663" w14:textId="77777777" w:rsidR="00E36AC8" w:rsidRDefault="00E36AC8">
      <w:pPr>
        <w:widowControl w:val="0"/>
        <w:tabs>
          <w:tab w:val="left" w:pos="0"/>
          <w:tab w:val="center" w:pos="4320"/>
          <w:tab w:val="right" w:pos="8276"/>
        </w:tabs>
        <w:rPr>
          <w:b/>
        </w:rPr>
      </w:pPr>
      <w:r>
        <w:t>To begin to answer these questions I will present a series of cases, which I will call ‘mix and match cases’,</w:t>
      </w:r>
      <w:r>
        <w:rPr>
          <w:rStyle w:val="footnoteref"/>
        </w:rPr>
        <w:t xml:space="preserve"> </w:t>
      </w:r>
      <w:r>
        <w:t>that attempt to describe circumstances in which sensory, cognitive, and rational-cum-causal/functional properties are mixed and matched in various ways. ‘Mix and match cases’ have been presented as objections to cognitive phenomenology. For example, Goff (2017) argues that a state’s cognitive-phenomenological properties are only contingently to that state’s rational properties leaving the cognitive phenomenology proponent without an explanation of why we obey rational norms. Pautz (2013) argues that certain cognitive phenomenology views are committed to accepting combinations of cognitive and sensory-phenomenological properties that are in fact impossible. I will argue that these mix and match cases in fact pose no difficulty for the proponent of cognitive phenomenology</w:t>
      </w:r>
    </w:p>
    <w:p w14:paraId="0FF2287D" w14:textId="77777777" w:rsidR="00E36AC8" w:rsidRDefault="00E36AC8">
      <w:pPr>
        <w:widowControl w:val="0"/>
        <w:tabs>
          <w:tab w:val="left" w:pos="0"/>
          <w:tab w:val="center" w:pos="4320"/>
          <w:tab w:val="right" w:pos="8276"/>
        </w:tabs>
        <w:rPr>
          <w:b/>
        </w:rPr>
      </w:pPr>
    </w:p>
    <w:p w14:paraId="5807F2B0" w14:textId="77777777" w:rsidR="00E36AC8" w:rsidRDefault="00E36AC8">
      <w:pPr>
        <w:widowControl w:val="0"/>
        <w:tabs>
          <w:tab w:val="left" w:pos="0"/>
          <w:tab w:val="center" w:pos="4320"/>
          <w:tab w:val="right" w:pos="8276"/>
        </w:tabs>
      </w:pPr>
      <w:r>
        <w:rPr>
          <w:b/>
        </w:rPr>
        <w:t xml:space="preserve">Readings </w:t>
      </w:r>
    </w:p>
    <w:p w14:paraId="43F63B61" w14:textId="77777777" w:rsidR="00E36AC8" w:rsidRDefault="00E36AC8">
      <w:pPr>
        <w:widowControl w:val="0"/>
        <w:tabs>
          <w:tab w:val="left" w:pos="0"/>
          <w:tab w:val="center" w:pos="4320"/>
          <w:tab w:val="right" w:pos="8276"/>
        </w:tabs>
      </w:pPr>
    </w:p>
    <w:p w14:paraId="5850D23A" w14:textId="77777777" w:rsidR="00E36AC8" w:rsidRDefault="00E36AC8">
      <w:pPr>
        <w:widowControl w:val="0"/>
        <w:tabs>
          <w:tab w:val="left" w:pos="0"/>
          <w:tab w:val="center" w:pos="4320"/>
          <w:tab w:val="right" w:pos="8276"/>
        </w:tabs>
      </w:pPr>
      <w:r>
        <w:t xml:space="preserve">•           P. Goff (2017) “Conscious Thought and the Cognitive Fine-Tuning Problem,” </w:t>
      </w:r>
      <w:r>
        <w:rPr>
          <w:i/>
        </w:rPr>
        <w:t xml:space="preserve">                               Philosophical Quarterly</w:t>
      </w:r>
      <w:r>
        <w:t>.</w:t>
      </w:r>
    </w:p>
    <w:p w14:paraId="2F9DDAAE" w14:textId="77777777" w:rsidR="00E36AC8" w:rsidRDefault="00E36AC8">
      <w:pPr>
        <w:widowControl w:val="0"/>
        <w:tabs>
          <w:tab w:val="left" w:pos="0"/>
          <w:tab w:val="center" w:pos="4320"/>
          <w:tab w:val="right" w:pos="8276"/>
        </w:tabs>
      </w:pPr>
      <w:r>
        <w:t xml:space="preserve">•           M. Montague (forthcoming) “Cognitive Phenomenology, Sensory Phenomenology, and                 Rationality,” in Sullivan (ed.) </w:t>
      </w:r>
      <w:r>
        <w:rPr>
          <w:i/>
        </w:rPr>
        <w:t>Sensations, Thoughts, Language: Essays in honor of                         Brian Loar</w:t>
      </w:r>
      <w:r>
        <w:t xml:space="preserve">, Routledge. </w:t>
      </w:r>
    </w:p>
    <w:p w14:paraId="55DB165B" w14:textId="77777777" w:rsidR="00E36AC8" w:rsidRDefault="00E36AC8">
      <w:pPr>
        <w:widowControl w:val="0"/>
        <w:tabs>
          <w:tab w:val="left" w:pos="0"/>
          <w:tab w:val="center" w:pos="4320"/>
          <w:tab w:val="right" w:pos="8276"/>
        </w:tabs>
      </w:pPr>
    </w:p>
    <w:p w14:paraId="50F59665" w14:textId="77777777" w:rsidR="00E36AC8" w:rsidRDefault="00E36AC8">
      <w:pPr>
        <w:widowControl w:val="0"/>
        <w:tabs>
          <w:tab w:val="left" w:pos="0"/>
          <w:tab w:val="center" w:pos="4320"/>
          <w:tab w:val="right" w:pos="8276"/>
        </w:tabs>
        <w:rPr>
          <w:b/>
        </w:rPr>
      </w:pPr>
      <w:r>
        <w:rPr>
          <w:b/>
        </w:rPr>
        <w:t>Lecture 3:  Cognitive Phenomenology and the Attitude/Content Distinction.</w:t>
      </w:r>
    </w:p>
    <w:p w14:paraId="78978BC3" w14:textId="77777777" w:rsidR="00E36AC8" w:rsidRDefault="00E36AC8">
      <w:pPr>
        <w:widowControl w:val="0"/>
        <w:tabs>
          <w:tab w:val="left" w:pos="0"/>
          <w:tab w:val="center" w:pos="4320"/>
          <w:tab w:val="right" w:pos="8276"/>
        </w:tabs>
      </w:pPr>
    </w:p>
    <w:p w14:paraId="68D9A755" w14:textId="77777777" w:rsidR="00E36AC8" w:rsidRDefault="00E36AC8">
      <w:pPr>
        <w:widowControl w:val="0"/>
        <w:tabs>
          <w:tab w:val="left" w:pos="0"/>
          <w:tab w:val="center" w:pos="4320"/>
          <w:tab w:val="right" w:pos="8276"/>
        </w:tabs>
        <w:rPr>
          <w:rFonts w:ascii="Times" w:hAnsi="Times"/>
          <w:color w:val="000000"/>
        </w:rPr>
      </w:pPr>
      <w:r>
        <w:t xml:space="preserve">It has been standard practice in philosophy to describe intentional mental states in terms of three elements: a subject-element, an attitude-element, and a content-element. There is a standard story about the attitude/content distinction, and this story implies, whether explicitly or implicitly, a certain metaphysical construal of the distinction. The standard story is that attitudes—beliefs, desires, wonderings (and I’m going to include perceptions on this list)—are relations to intentional contents. </w:t>
      </w:r>
      <w:r>
        <w:rPr>
          <w:rFonts w:ascii="Times" w:hAnsi="Times"/>
        </w:rPr>
        <w:t xml:space="preserve">I’ll call this ‘the Tripartite view’, because it posits three fundamental distinct elements. </w:t>
      </w:r>
      <w:r>
        <w:t xml:space="preserve">I will argue that </w:t>
      </w:r>
      <w:r>
        <w:rPr>
          <w:rFonts w:ascii="Times" w:hAnsi="Times"/>
        </w:rPr>
        <w:t>the Tripartite view</w:t>
      </w:r>
      <w:r>
        <w:t xml:space="preserve"> is mistaken (at its most basic step), regardless of how exactly the metaphysical commitments are filled out. In place of the Tripartite view, I will argue for what I will call ‘the Dual view’. According to the Dual view, all there is to the metaphysics of our intentional states is the presentation of (i) content to (ii) a subject; there is no need to postulate distinct metaphysical relations and call them ‘the  belief relation’, ‘the desire relation’, and so on. </w:t>
      </w:r>
      <w:r>
        <w:rPr>
          <w:rFonts w:ascii="Times" w:hAnsi="Times"/>
        </w:rPr>
        <w:t xml:space="preserve">The main idea of </w:t>
      </w:r>
      <w:r>
        <w:t xml:space="preserve">the Dual view </w:t>
      </w:r>
      <w:r>
        <w:rPr>
          <w:rFonts w:ascii="Times" w:hAnsi="Times"/>
        </w:rPr>
        <w:t>is that differences between intentional states standardly captured by appeal to attitudes can be captured simply by appeal to differences between the intentional contents of intentional states. And I will argue that the relevant differences between intentional contents are best explained</w:t>
      </w:r>
      <w:r>
        <w:t xml:space="preserve"> by reference to</w:t>
      </w:r>
      <w:r>
        <w:rPr>
          <w:color w:val="FF0000"/>
        </w:rPr>
        <w:t xml:space="preserve"> </w:t>
      </w:r>
      <w:r>
        <w:rPr>
          <w:rFonts w:ascii="Times" w:hAnsi="Times"/>
          <w:color w:val="000000"/>
        </w:rPr>
        <w:t xml:space="preserve">a certain relationship between intentional states’ intentional properties and what I will call ‘content-related’ phenomenological properties. </w:t>
      </w:r>
    </w:p>
    <w:p w14:paraId="00F54C83" w14:textId="77777777" w:rsidR="00E36AC8" w:rsidRDefault="00E36AC8">
      <w:pPr>
        <w:widowControl w:val="0"/>
        <w:tabs>
          <w:tab w:val="left" w:pos="0"/>
          <w:tab w:val="center" w:pos="4320"/>
          <w:tab w:val="right" w:pos="8276"/>
        </w:tabs>
        <w:rPr>
          <w:color w:val="000000"/>
        </w:rPr>
      </w:pPr>
    </w:p>
    <w:p w14:paraId="5D84EEE4" w14:textId="77777777" w:rsidR="00E36AC8" w:rsidRDefault="00E36AC8">
      <w:pPr>
        <w:widowControl w:val="0"/>
        <w:tabs>
          <w:tab w:val="left" w:pos="0"/>
          <w:tab w:val="center" w:pos="4320"/>
          <w:tab w:val="right" w:pos="8276"/>
        </w:tabs>
        <w:rPr>
          <w:color w:val="000000"/>
        </w:rPr>
      </w:pPr>
      <w:r>
        <w:rPr>
          <w:b/>
          <w:color w:val="000000"/>
        </w:rPr>
        <w:t>Reading</w:t>
      </w:r>
    </w:p>
    <w:p w14:paraId="4FCD8E99" w14:textId="77777777" w:rsidR="00E36AC8" w:rsidRDefault="00E36AC8">
      <w:pPr>
        <w:widowControl w:val="0"/>
        <w:tabs>
          <w:tab w:val="left" w:pos="0"/>
          <w:tab w:val="center" w:pos="4320"/>
          <w:tab w:val="right" w:pos="8276"/>
        </w:tabs>
        <w:rPr>
          <w:color w:val="000000"/>
        </w:rPr>
      </w:pPr>
    </w:p>
    <w:p w14:paraId="1BE46CDC" w14:textId="77777777" w:rsidR="00E36AC8" w:rsidRDefault="00E36AC8">
      <w:pPr>
        <w:widowControl w:val="0"/>
        <w:tabs>
          <w:tab w:val="left" w:pos="0"/>
          <w:tab w:val="center" w:pos="4320"/>
          <w:tab w:val="right" w:pos="8276"/>
        </w:tabs>
        <w:rPr>
          <w:color w:val="000000"/>
        </w:rPr>
      </w:pPr>
      <w:r>
        <w:rPr>
          <w:color w:val="000000"/>
        </w:rPr>
        <w:t>•           M. Montague (forthcoming) “What (Exactly) is the Attitude/Content Distinction?”</w:t>
      </w:r>
    </w:p>
    <w:p w14:paraId="2530EF44" w14:textId="77777777" w:rsidR="00E36AC8" w:rsidRDefault="00E36AC8">
      <w:pPr>
        <w:widowControl w:val="0"/>
        <w:tabs>
          <w:tab w:val="left" w:pos="0"/>
          <w:tab w:val="center" w:pos="4320"/>
          <w:tab w:val="right" w:pos="8276"/>
        </w:tabs>
        <w:rPr>
          <w:color w:val="000000"/>
        </w:rPr>
      </w:pPr>
    </w:p>
    <w:p w14:paraId="6157D825" w14:textId="77777777" w:rsidR="00E36AC8" w:rsidRDefault="00E36AC8">
      <w:pPr>
        <w:widowControl w:val="0"/>
        <w:tabs>
          <w:tab w:val="left" w:pos="0"/>
          <w:tab w:val="center" w:pos="4320"/>
          <w:tab w:val="right" w:pos="8276"/>
        </w:tabs>
        <w:rPr>
          <w:color w:val="000000"/>
        </w:rPr>
      </w:pPr>
    </w:p>
    <w:p w14:paraId="020BF87C" w14:textId="77777777" w:rsidR="00E36AC8" w:rsidRDefault="00E36AC8">
      <w:pPr>
        <w:widowControl w:val="0"/>
        <w:tabs>
          <w:tab w:val="left" w:pos="0"/>
          <w:tab w:val="center" w:pos="4320"/>
          <w:tab w:val="right" w:pos="8276"/>
        </w:tabs>
        <w:rPr>
          <w:color w:val="000000"/>
        </w:rPr>
      </w:pPr>
      <w:r>
        <w:rPr>
          <w:b/>
          <w:smallCaps/>
          <w:color w:val="000000"/>
        </w:rPr>
        <w:t>Declan Smithies (Sessions 17-19)</w:t>
      </w:r>
    </w:p>
    <w:p w14:paraId="204855E3" w14:textId="77777777" w:rsidR="00E36AC8" w:rsidRDefault="00E36AC8">
      <w:pPr>
        <w:widowControl w:val="0"/>
        <w:tabs>
          <w:tab w:val="left" w:pos="0"/>
          <w:tab w:val="center" w:pos="4320"/>
          <w:tab w:val="right" w:pos="8276"/>
        </w:tabs>
        <w:rPr>
          <w:color w:val="000000"/>
        </w:rPr>
      </w:pPr>
    </w:p>
    <w:p w14:paraId="121398B9" w14:textId="77777777" w:rsidR="00E36AC8" w:rsidRDefault="00E36AC8">
      <w:pPr>
        <w:tabs>
          <w:tab w:val="left" w:pos="0"/>
          <w:tab w:val="center" w:pos="4320"/>
          <w:tab w:val="right" w:pos="8276"/>
        </w:tabs>
        <w:rPr>
          <w:b/>
          <w:color w:val="000000"/>
        </w:rPr>
      </w:pPr>
      <w:r>
        <w:rPr>
          <w:b/>
          <w:color w:val="000000"/>
        </w:rPr>
        <w:t>Lecture 1:  Belief as a Disposition Towards Judgment.</w:t>
      </w:r>
    </w:p>
    <w:p w14:paraId="14D69E9E" w14:textId="77777777" w:rsidR="00E36AC8" w:rsidRDefault="00E36AC8">
      <w:pPr>
        <w:tabs>
          <w:tab w:val="left" w:pos="0"/>
          <w:tab w:val="center" w:pos="4320"/>
          <w:tab w:val="right" w:pos="8276"/>
        </w:tabs>
        <w:rPr>
          <w:color w:val="000000"/>
        </w:rPr>
      </w:pPr>
    </w:p>
    <w:p w14:paraId="088FC9BA" w14:textId="77777777" w:rsidR="00E36AC8" w:rsidRDefault="00E36AC8">
      <w:pPr>
        <w:tabs>
          <w:tab w:val="left" w:pos="0"/>
          <w:tab w:val="center" w:pos="4320"/>
          <w:tab w:val="right" w:pos="8276"/>
        </w:tabs>
        <w:rPr>
          <w:color w:val="000000"/>
        </w:rPr>
      </w:pPr>
      <w:r>
        <w:rPr>
          <w:color w:val="000000"/>
        </w:rPr>
        <w:t>Why do beliefs play an epistemic role in justifying other beliefs, whereas subdoxastic mental representations do not? I argue that this is because beliefs are individuated by their dispositions to cause cognitive experiences of judgment, whereas subdoxastic mental representations are individuated by their role in unconscious computational processes. In a slogan, beliefs are phenomenally individuated, whereas subdoxastic states are non-phenomenally individuated.</w:t>
      </w:r>
    </w:p>
    <w:p w14:paraId="0F3A8C23" w14:textId="77777777" w:rsidR="00E36AC8" w:rsidRDefault="00E36AC8">
      <w:pPr>
        <w:widowControl w:val="0"/>
        <w:tabs>
          <w:tab w:val="left" w:pos="0"/>
          <w:tab w:val="center" w:pos="4320"/>
          <w:tab w:val="right" w:pos="8276"/>
        </w:tabs>
        <w:rPr>
          <w:rFonts w:ascii="Cambria" w:hAnsi="Cambria"/>
          <w:color w:val="000000"/>
        </w:rPr>
      </w:pPr>
    </w:p>
    <w:p w14:paraId="541ECA98" w14:textId="77777777" w:rsidR="00E36AC8" w:rsidRDefault="00E36AC8">
      <w:pPr>
        <w:tabs>
          <w:tab w:val="left" w:pos="0"/>
          <w:tab w:val="center" w:pos="4320"/>
          <w:tab w:val="right" w:pos="8276"/>
        </w:tabs>
        <w:rPr>
          <w:b/>
          <w:color w:val="000000"/>
        </w:rPr>
      </w:pPr>
      <w:r>
        <w:rPr>
          <w:b/>
          <w:color w:val="000000"/>
        </w:rPr>
        <w:t>Reading</w:t>
      </w:r>
    </w:p>
    <w:p w14:paraId="3C4F05AE" w14:textId="77777777" w:rsidR="00E36AC8" w:rsidRDefault="00E36AC8">
      <w:pPr>
        <w:tabs>
          <w:tab w:val="left" w:pos="0"/>
          <w:tab w:val="center" w:pos="4320"/>
          <w:tab w:val="right" w:pos="8276"/>
        </w:tabs>
        <w:rPr>
          <w:color w:val="000000"/>
        </w:rPr>
      </w:pPr>
    </w:p>
    <w:p w14:paraId="3E99C398" w14:textId="77777777" w:rsidR="00E36AC8" w:rsidRDefault="00E36AC8">
      <w:pPr>
        <w:tabs>
          <w:tab w:val="left" w:pos="0"/>
          <w:tab w:val="center" w:pos="4320"/>
          <w:tab w:val="right" w:pos="8276"/>
        </w:tabs>
        <w:rPr>
          <w:color w:val="000000"/>
        </w:rPr>
      </w:pPr>
      <w:r>
        <w:rPr>
          <w:color w:val="000000"/>
        </w:rPr>
        <w:t xml:space="preserve">•           Declan Smithies, </w:t>
      </w:r>
      <w:r>
        <w:rPr>
          <w:i/>
          <w:color w:val="000000"/>
        </w:rPr>
        <w:t>The Epistemic Role of Consciousness</w:t>
      </w:r>
      <w:r>
        <w:rPr>
          <w:color w:val="000000"/>
        </w:rPr>
        <w:t>, Ch. 3</w:t>
      </w:r>
    </w:p>
    <w:p w14:paraId="2BF180D3"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AE7F9FD"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06E48DB"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1EDF3C5"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0AD89DC"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i/>
          <w:color w:val="000000"/>
        </w:rPr>
        <w:t>Optional Readings</w:t>
      </w:r>
    </w:p>
    <w:p w14:paraId="3C8E86BB"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2D37B31"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color w:val="000000"/>
        </w:rPr>
      </w:pPr>
      <w:r>
        <w:rPr>
          <w:color w:val="000000"/>
        </w:rPr>
        <w:t>•</w:t>
      </w:r>
      <w:r>
        <w:rPr>
          <w:color w:val="000000"/>
        </w:rPr>
        <w:tab/>
        <w:t xml:space="preserve">Smithies, “The Nature of Cognitive Phenomenology” and “The Significance of Cognitive Phenomenology” in </w:t>
      </w:r>
      <w:r>
        <w:rPr>
          <w:i/>
          <w:color w:val="000000"/>
        </w:rPr>
        <w:t>Philosophy Compass</w:t>
      </w:r>
      <w:r>
        <w:rPr>
          <w:color w:val="000000"/>
        </w:rPr>
        <w:t xml:space="preserve"> 8.8: 731-54, August 2013.</w:t>
      </w:r>
    </w:p>
    <w:p w14:paraId="4629D6AD"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E1D7673"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rPr>
      </w:pPr>
      <w:r>
        <w:rPr>
          <w:b/>
          <w:color w:val="000000"/>
        </w:rPr>
        <w:t>Lecture 2:  Knowing What We Believe.</w:t>
      </w:r>
    </w:p>
    <w:p w14:paraId="5B55FE2E"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D0513D7"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How do we have introspective knowledge of what we ourselves believe? I argue that we can have introspective knowledge of what we believe only because our beliefs are phenomenally individuated by their dispositions to cause cognitive experiences of judgment. I also address objections involving cases in which we believe without making judgments, or we make judgments without believing their contents.</w:t>
      </w:r>
    </w:p>
    <w:p w14:paraId="16D6CC84" w14:textId="77777777" w:rsidR="00E36AC8" w:rsidRDefault="00E36A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49709A47"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rPr>
      </w:pPr>
      <w:r>
        <w:rPr>
          <w:b/>
          <w:color w:val="000000"/>
        </w:rPr>
        <w:t>Reading</w:t>
      </w:r>
    </w:p>
    <w:p w14:paraId="7FDB63B7"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E8D6017"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Cambria" w:hAnsi="Cambria"/>
          <w:color w:val="000000"/>
        </w:rPr>
      </w:pPr>
      <w:r>
        <w:rPr>
          <w:color w:val="000000"/>
        </w:rPr>
        <w:t>•</w:t>
      </w:r>
      <w:r>
        <w:rPr>
          <w:color w:val="000000"/>
        </w:rPr>
        <w:tab/>
        <w:t xml:space="preserve">Declan Smithies, </w:t>
      </w:r>
      <w:r>
        <w:rPr>
          <w:i/>
          <w:color w:val="000000"/>
        </w:rPr>
        <w:t>The Epistemic Role of Consciousness</w:t>
      </w:r>
      <w:r>
        <w:rPr>
          <w:color w:val="000000"/>
        </w:rPr>
        <w:t>, Ch. 4</w:t>
      </w:r>
    </w:p>
    <w:p w14:paraId="30AC0888"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2D00965"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rPr>
      </w:pPr>
      <w:r>
        <w:rPr>
          <w:b/>
          <w:color w:val="000000"/>
        </w:rPr>
        <w:t>Lecture 3:  The Epistemic Role of Cognitive Experience.</w:t>
      </w:r>
    </w:p>
    <w:p w14:paraId="1205462E"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F62080F"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Cambria" w:hAnsi="Cambria"/>
          <w:color w:val="000000"/>
        </w:rPr>
      </w:pPr>
      <w:r>
        <w:rPr>
          <w:color w:val="000000"/>
        </w:rPr>
        <w:t>Why must beliefs be phenomenally individuated by their dispositions to cause conscious experiences of judgment in order to play an epistemic role in justifying other beliefs, including introspective beliefs about our beliefs? I answer this question by setting the epistemic role of cognitive experience within the broader epistemological framework of access internalism.</w:t>
      </w:r>
    </w:p>
    <w:p w14:paraId="1EDC0DE1" w14:textId="77777777" w:rsidR="00E36AC8" w:rsidRDefault="00E36A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Cambria" w:hAnsi="Cambria"/>
          <w:color w:val="000000"/>
        </w:rPr>
      </w:pPr>
    </w:p>
    <w:p w14:paraId="7B0D2FE6"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Cambria" w:hAnsi="Cambria"/>
          <w:b/>
          <w:color w:val="000000"/>
        </w:rPr>
      </w:pPr>
      <w:r>
        <w:rPr>
          <w:b/>
          <w:color w:val="000000"/>
        </w:rPr>
        <w:t>Reading</w:t>
      </w:r>
    </w:p>
    <w:p w14:paraId="43F38F7A"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1D41E26"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color w:val="000000"/>
        </w:rPr>
      </w:pPr>
      <w:r>
        <w:rPr>
          <w:color w:val="000000"/>
        </w:rPr>
        <w:t>•</w:t>
      </w:r>
      <w:r>
        <w:rPr>
          <w:color w:val="000000"/>
        </w:rPr>
        <w:tab/>
        <w:t xml:space="preserve">Declan Smithies, </w:t>
      </w:r>
      <w:r>
        <w:rPr>
          <w:i/>
          <w:color w:val="000000"/>
        </w:rPr>
        <w:t>The Epistemic Role of Consciousness</w:t>
      </w:r>
      <w:r>
        <w:rPr>
          <w:color w:val="000000"/>
        </w:rPr>
        <w:t>, Ch. 5 &amp; 6</w:t>
      </w:r>
    </w:p>
    <w:p w14:paraId="7195880B"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0911219"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870058D"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C91BC19"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2DEA0F08"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74F7ACE"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rPr>
      </w:pPr>
      <w:r>
        <w:rPr>
          <w:b/>
          <w:smallCaps/>
          <w:color w:val="000000"/>
        </w:rPr>
        <w:t>David Pitt (Sessions 20-22)</w:t>
      </w:r>
    </w:p>
    <w:p w14:paraId="0F26DC99"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color w:val="000000"/>
        </w:rPr>
      </w:pPr>
    </w:p>
    <w:p w14:paraId="60E9900E"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rPr>
        <w:t>Lecture 1:  Anti-Externalism</w:t>
      </w:r>
    </w:p>
    <w:p w14:paraId="7B4844F2"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1E89EC48"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The thought experiments of Putnam (“The Meaning of ‘Meaning’” (1975)) and Burge (“Individualism and the Mental” (1979)) have been enormously influential in the philosophy of mind and language.  They convinced almost all philosophers that conceptual content is in part determined by natural and social factors external to individual thinkers.  I argue that these thought experiments do not motivate their widely accepted externalist conclusions.</w:t>
      </w:r>
    </w:p>
    <w:p w14:paraId="2C3A3D15"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1460793"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rPr>
        <w:t>Reading</w:t>
      </w:r>
    </w:p>
    <w:p w14:paraId="069D6E0B"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0935517"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color w:val="000000"/>
        </w:rPr>
      </w:pPr>
      <w:r>
        <w:rPr>
          <w:color w:val="000000"/>
        </w:rPr>
        <w:t>•</w:t>
      </w:r>
      <w:r>
        <w:rPr>
          <w:color w:val="000000"/>
        </w:rPr>
        <w:tab/>
        <w:t xml:space="preserve">Pitt, </w:t>
      </w:r>
      <w:r>
        <w:rPr>
          <w:i/>
          <w:color w:val="000000"/>
        </w:rPr>
        <w:t>The Quality of Thought</w:t>
      </w:r>
      <w:r>
        <w:rPr>
          <w:color w:val="000000"/>
        </w:rPr>
        <w:t>, Ch. 3</w:t>
      </w:r>
    </w:p>
    <w:p w14:paraId="0F343CEF"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2124DAD"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rPr>
        <w:t>Lecture 2:  Singular Thought</w:t>
      </w:r>
    </w:p>
    <w:p w14:paraId="733AD02B"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3250F829"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 xml:space="preserve">A singular thought is a thought whose content contains its object.  I identify the motivation for this view as </w:t>
      </w:r>
      <w:r>
        <w:rPr>
          <w:i/>
          <w:color w:val="000000"/>
        </w:rPr>
        <w:t>haecceitism</w:t>
      </w:r>
      <w:r>
        <w:rPr>
          <w:color w:val="000000"/>
        </w:rPr>
        <w:t xml:space="preserve">, and argue that haeccesities cannot be represented either perceptually or conceptually.  All thought content is </w:t>
      </w:r>
      <w:r>
        <w:rPr>
          <w:i/>
          <w:color w:val="000000"/>
        </w:rPr>
        <w:t>general</w:t>
      </w:r>
      <w:r>
        <w:rPr>
          <w:color w:val="000000"/>
        </w:rPr>
        <w:t xml:space="preserve"> – though in some cases </w:t>
      </w:r>
      <w:r>
        <w:rPr>
          <w:i/>
          <w:color w:val="000000"/>
        </w:rPr>
        <w:t xml:space="preserve">reference </w:t>
      </w:r>
      <w:r>
        <w:rPr>
          <w:color w:val="000000"/>
        </w:rPr>
        <w:t>to particulars is determined by factors external to thinkers.</w:t>
      </w:r>
    </w:p>
    <w:p w14:paraId="674CFE28"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FBF2664"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rPr>
        <w:t>Reading</w:t>
      </w:r>
    </w:p>
    <w:p w14:paraId="33308659"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79ECAC3"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color w:val="000000"/>
        </w:rPr>
      </w:pPr>
      <w:r>
        <w:rPr>
          <w:color w:val="000000"/>
        </w:rPr>
        <w:t>•</w:t>
      </w:r>
      <w:r>
        <w:rPr>
          <w:color w:val="000000"/>
        </w:rPr>
        <w:tab/>
        <w:t xml:space="preserve">Pitt, </w:t>
      </w:r>
      <w:r>
        <w:rPr>
          <w:i/>
          <w:color w:val="000000"/>
        </w:rPr>
        <w:t>The Quality of Thought</w:t>
      </w:r>
      <w:r>
        <w:rPr>
          <w:color w:val="000000"/>
        </w:rPr>
        <w:t>, Ch. 7</w:t>
      </w:r>
    </w:p>
    <w:p w14:paraId="51D59127"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092E57BE"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rPr>
        <w:t>Lecture 3:  Unconscious Thought</w:t>
      </w:r>
    </w:p>
    <w:p w14:paraId="51E8CDF1"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B31800C"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color w:val="000000"/>
        </w:rPr>
        <w:t>If propositional phenomenology is identical to thought content, the existence of unconscious thoughts presents a prima facie problem for those who think there can be no unconscious phenomenology.  I try out several arguments for the existence of unconscious phenomenology, and, concluding that none are satisfactory, try to make a case for mental life without unconscious content.</w:t>
      </w:r>
    </w:p>
    <w:p w14:paraId="650A42F8"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55B8129D"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r>
        <w:rPr>
          <w:b/>
          <w:color w:val="000000"/>
        </w:rPr>
        <w:t>Reading</w:t>
      </w:r>
    </w:p>
    <w:p w14:paraId="11AEE7CE"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7DFF8A59"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color w:val="000000"/>
        </w:rPr>
      </w:pPr>
      <w:r>
        <w:rPr>
          <w:color w:val="000000"/>
        </w:rPr>
        <w:t>•</w:t>
      </w:r>
      <w:r>
        <w:rPr>
          <w:color w:val="000000"/>
        </w:rPr>
        <w:tab/>
        <w:t xml:space="preserve">Pitt, </w:t>
      </w:r>
      <w:r>
        <w:rPr>
          <w:i/>
          <w:color w:val="000000"/>
        </w:rPr>
        <w:t>The Quality of Thought</w:t>
      </w:r>
      <w:r>
        <w:rPr>
          <w:color w:val="000000"/>
        </w:rPr>
        <w:t>, Ch. 6</w:t>
      </w:r>
    </w:p>
    <w:p w14:paraId="4F6B613B" w14:textId="77777777" w:rsidR="00E36AC8" w:rsidRDefault="00E36AC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color w:val="000000"/>
        </w:rPr>
      </w:pPr>
    </w:p>
    <w:p w14:paraId="657DF9A9" w14:textId="77777777" w:rsidR="00E36AC8" w:rsidRDefault="00E36A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pPr>
    </w:p>
    <w:sectPr w:rsidR="00E36AC8" w:rsidSect="00E36AC8">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P MultinationalA Roman">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P TypographicSymbols">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quot;"/>
      <w:lvlJc w:val="left"/>
      <w:rPr>
        <w:rFonts w:ascii="WP MultinationalA Roman" w:hAnsi="WP MultinationalA Roman" w:cs="Times New Roman"/>
      </w:rPr>
    </w:lvl>
    <w:lvl w:ilvl="1">
      <w:start w:val="1"/>
      <w:numFmt w:val="none"/>
      <w:suff w:val="nothing"/>
      <w:lvlText w:val="o"/>
      <w:lvlJc w:val="left"/>
      <w:rPr>
        <w:rFonts w:cs="Times New Roman"/>
      </w:rPr>
    </w:lvl>
    <w:lvl w:ilvl="2">
      <w:start w:val="1"/>
      <w:numFmt w:val="none"/>
      <w:suff w:val="nothing"/>
      <w:lvlText w:val="'"/>
      <w:lvlJc w:val="left"/>
      <w:rPr>
        <w:rFonts w:ascii="WP TypographicSymbols" w:hAnsi="WP TypographicSymbols" w:cs="Times New Roman"/>
      </w:rPr>
    </w:lvl>
    <w:lvl w:ilvl="3">
      <w:start w:val="1"/>
      <w:numFmt w:val="none"/>
      <w:suff w:val="nothing"/>
      <w:lvlText w:val="&quot;"/>
      <w:lvlJc w:val="left"/>
      <w:rPr>
        <w:rFonts w:ascii="WP MultinationalA Roman" w:hAnsi="WP MultinationalA Roman" w:cs="Times New Roman"/>
      </w:rPr>
    </w:lvl>
    <w:lvl w:ilvl="4">
      <w:start w:val="1"/>
      <w:numFmt w:val="none"/>
      <w:suff w:val="nothing"/>
      <w:lvlText w:val="o"/>
      <w:lvlJc w:val="left"/>
      <w:rPr>
        <w:rFonts w:cs="Times New Roman"/>
      </w:rPr>
    </w:lvl>
    <w:lvl w:ilvl="5">
      <w:start w:val="1"/>
      <w:numFmt w:val="none"/>
      <w:suff w:val="nothing"/>
      <w:lvlText w:val="'"/>
      <w:lvlJc w:val="left"/>
      <w:rPr>
        <w:rFonts w:ascii="WP TypographicSymbols" w:hAnsi="WP TypographicSymbols" w:cs="Times New Roman"/>
      </w:rPr>
    </w:lvl>
    <w:lvl w:ilvl="6">
      <w:start w:val="1"/>
      <w:numFmt w:val="none"/>
      <w:suff w:val="nothing"/>
      <w:lvlText w:val="&quot;"/>
      <w:lvlJc w:val="left"/>
      <w:rPr>
        <w:rFonts w:ascii="WP MultinationalA Roman" w:hAnsi="WP MultinationalA Roman" w:cs="Times New Roman"/>
      </w:rPr>
    </w:lvl>
    <w:lvl w:ilvl="7">
      <w:start w:val="1"/>
      <w:numFmt w:val="none"/>
      <w:suff w:val="nothing"/>
      <w:lvlText w:val="o"/>
      <w:lvlJc w:val="left"/>
      <w:rPr>
        <w:rFonts w:cs="Times New Roman"/>
      </w:rPr>
    </w:lvl>
    <w:lvl w:ilvl="8">
      <w:start w:val="1"/>
      <w:numFmt w:val="lowerRoman"/>
      <w:suff w:val="nothing"/>
      <w:lvlText w:val="%9)"/>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Moves/>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E2MjE3NTM0MzG0NDdX0lEKTi0uzszPAykwrAUAopbp9CwAAAA="/>
  </w:docVars>
  <w:rsids>
    <w:rsidRoot w:val="00E36AC8"/>
    <w:rsid w:val="00BB6DB1"/>
    <w:rsid w:val="00E36AC8"/>
    <w:rsid w:val="00F448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14:docId w14:val="46F9C795"/>
  <w15:docId w15:val="{B33BE8EB-99D3-49BF-A2E3-05F82814E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0031">
    <w:name w:val="Outline003_1"/>
    <w:basedOn w:val="Normal"/>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pPr>
    <w:rPr>
      <w:rFonts w:ascii="Symbol" w:hAnsi="Symbol"/>
    </w:rPr>
  </w:style>
  <w:style w:type="paragraph" w:customStyle="1" w:styleId="Outline0032">
    <w:name w:val="Outline003_2"/>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360"/>
    </w:pPr>
    <w:rPr>
      <w:rFonts w:ascii="Courier New" w:hAnsi="Courier New"/>
    </w:rPr>
  </w:style>
  <w:style w:type="paragraph" w:customStyle="1" w:styleId="Outline0033">
    <w:name w:val="Outline003_3"/>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hanging="360"/>
    </w:pPr>
    <w:rPr>
      <w:rFonts w:ascii="Wingdings" w:hAnsi="Wingdings"/>
    </w:rPr>
  </w:style>
  <w:style w:type="paragraph" w:customStyle="1" w:styleId="Outline0034">
    <w:name w:val="Outline003_4"/>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hanging="360"/>
    </w:pPr>
    <w:rPr>
      <w:rFonts w:ascii="Symbol" w:hAnsi="Symbol"/>
    </w:rPr>
  </w:style>
  <w:style w:type="paragraph" w:customStyle="1" w:styleId="Outline0035">
    <w:name w:val="Outline003_5"/>
    <w:basedOn w:val="Normal"/>
    <w:pPr>
      <w:widowControl w:val="0"/>
      <w:tabs>
        <w:tab w:val="left" w:pos="3600"/>
        <w:tab w:val="left" w:pos="4320"/>
        <w:tab w:val="left" w:pos="5040"/>
        <w:tab w:val="left" w:pos="5760"/>
        <w:tab w:val="left" w:pos="6480"/>
        <w:tab w:val="left" w:pos="7200"/>
        <w:tab w:val="left" w:pos="7920"/>
        <w:tab w:val="left" w:pos="8640"/>
      </w:tabs>
      <w:ind w:left="3600" w:hanging="360"/>
    </w:pPr>
    <w:rPr>
      <w:rFonts w:ascii="Courier New" w:hAnsi="Courier New"/>
    </w:rPr>
  </w:style>
  <w:style w:type="paragraph" w:customStyle="1" w:styleId="Outline0036">
    <w:name w:val="Outline003_6"/>
    <w:basedOn w:val="Normal"/>
    <w:pPr>
      <w:widowControl w:val="0"/>
      <w:tabs>
        <w:tab w:val="left" w:pos="4320"/>
        <w:tab w:val="left" w:pos="5040"/>
        <w:tab w:val="left" w:pos="5760"/>
        <w:tab w:val="left" w:pos="6480"/>
        <w:tab w:val="left" w:pos="7200"/>
        <w:tab w:val="left" w:pos="7920"/>
        <w:tab w:val="left" w:pos="8640"/>
      </w:tabs>
      <w:ind w:left="4320" w:hanging="360"/>
    </w:pPr>
    <w:rPr>
      <w:rFonts w:ascii="Wingdings" w:hAnsi="Wingdings"/>
    </w:rPr>
  </w:style>
  <w:style w:type="paragraph" w:customStyle="1" w:styleId="Outline0037">
    <w:name w:val="Outline003_7"/>
    <w:basedOn w:val="Normal"/>
    <w:pPr>
      <w:widowControl w:val="0"/>
      <w:tabs>
        <w:tab w:val="left" w:pos="5040"/>
        <w:tab w:val="left" w:pos="5760"/>
        <w:tab w:val="left" w:pos="6480"/>
        <w:tab w:val="left" w:pos="7200"/>
        <w:tab w:val="left" w:pos="7920"/>
        <w:tab w:val="left" w:pos="8640"/>
      </w:tabs>
      <w:ind w:left="5040" w:hanging="360"/>
    </w:pPr>
    <w:rPr>
      <w:rFonts w:ascii="Symbol" w:hAnsi="Symbol"/>
    </w:rPr>
  </w:style>
  <w:style w:type="paragraph" w:customStyle="1" w:styleId="Outline0038">
    <w:name w:val="Outline003_8"/>
    <w:basedOn w:val="Normal"/>
    <w:pPr>
      <w:widowControl w:val="0"/>
      <w:tabs>
        <w:tab w:val="left" w:pos="5760"/>
        <w:tab w:val="left" w:pos="6480"/>
        <w:tab w:val="left" w:pos="7200"/>
        <w:tab w:val="left" w:pos="7920"/>
        <w:tab w:val="left" w:pos="8640"/>
      </w:tabs>
      <w:ind w:left="5760" w:hanging="360"/>
    </w:pPr>
    <w:rPr>
      <w:rFonts w:ascii="Courier New" w:hAnsi="Courier New"/>
    </w:rPr>
  </w:style>
  <w:style w:type="paragraph" w:customStyle="1" w:styleId="Level9">
    <w:name w:val="Level 9"/>
    <w:basedOn w:val="Normal"/>
    <w:pPr>
      <w:widowControl w:val="0"/>
    </w:pPr>
    <w:rPr>
      <w:b/>
    </w:rPr>
  </w:style>
  <w:style w:type="paragraph" w:customStyle="1" w:styleId="Outline0039">
    <w:name w:val="Outline003_9"/>
    <w:basedOn w:val="Normal"/>
    <w:pPr>
      <w:widowControl w:val="0"/>
      <w:tabs>
        <w:tab w:val="left" w:pos="6480"/>
        <w:tab w:val="left" w:pos="7200"/>
        <w:tab w:val="left" w:pos="7920"/>
        <w:tab w:val="left" w:pos="8640"/>
      </w:tabs>
      <w:ind w:left="6480" w:hanging="360"/>
    </w:pPr>
    <w:rPr>
      <w:rFonts w:ascii="Wingdings" w:hAnsi="Wingdings"/>
    </w:rPr>
  </w:style>
  <w:style w:type="character" w:customStyle="1" w:styleId="footnoteref">
    <w:name w:val="footnote ref"/>
    <w:basedOn w:val="DefaultParagraphFont"/>
    <w:rPr>
      <w:rFonts w:cs="Times New Roman"/>
      <w:vertAlign w:val="superscript"/>
    </w:rPr>
  </w:style>
  <w:style w:type="paragraph" w:styleId="Footer">
    <w:name w:val="footer"/>
    <w:basedOn w:val="Normal"/>
    <w:link w:val="FooterChar"/>
    <w:uiPriority w:val="99"/>
    <w:pPr>
      <w:tabs>
        <w:tab w:val="left" w:pos="0"/>
        <w:tab w:val="center" w:pos="4320"/>
        <w:tab w:val="right" w:pos="8636"/>
      </w:tabs>
    </w:pPr>
    <w:rPr>
      <w:rFonts w:ascii="MS Mincho" w:eastAsia="MS Mincho"/>
    </w:rPr>
  </w:style>
  <w:style w:type="character" w:customStyle="1" w:styleId="FooterChar">
    <w:name w:val="Footer Char"/>
    <w:basedOn w:val="DefaultParagraphFont"/>
    <w:link w:val="Footer"/>
    <w:uiPriority w:val="99"/>
    <w:semiHidden/>
    <w:rsid w:val="00E36AC8"/>
    <w:rPr>
      <w:sz w:val="24"/>
    </w:rPr>
  </w:style>
  <w:style w:type="character" w:styleId="PageNumber">
    <w:name w:val="page number"/>
    <w:basedOn w:val="DefaultParagraphFont"/>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7A034ABD141D14B89F0AF45E5E4F447" ma:contentTypeVersion="12" ma:contentTypeDescription="Create a new document." ma:contentTypeScope="" ma:versionID="6a8f9133eeee4200e50e563535e465ba">
  <xsd:schema xmlns:xsd="http://www.w3.org/2001/XMLSchema" xmlns:xs="http://www.w3.org/2001/XMLSchema" xmlns:p="http://schemas.microsoft.com/office/2006/metadata/properties" xmlns:ns1="http://schemas.microsoft.com/sharepoint/v3" xmlns:ns2="1d546331-390f-411e-a7ff-3398a33e9ae4" xmlns:ns3="a9baf332-ec32-4d47-87ab-509753f806bb" targetNamespace="http://schemas.microsoft.com/office/2006/metadata/properties" ma:root="true" ma:fieldsID="c1dcef158f798446f74a2a20727d1ddb" ns1:_="" ns2:_="" ns3:_="">
    <xsd:import namespace="http://schemas.microsoft.com/sharepoint/v3"/>
    <xsd:import namespace="1d546331-390f-411e-a7ff-3398a33e9ae4"/>
    <xsd:import namespace="a9baf332-ec32-4d47-87ab-509753f806bb"/>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1:_ip_UnifiedCompliancePolicyProperties" minOccurs="0"/>
                <xsd:element ref="ns1:_ip_UnifiedCompliancePolicyUIAc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546331-390f-411e-a7ff-3398a33e9ae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9baf332-ec32-4d47-87ab-509753f806b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9"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895D86D-D94A-412B-981F-957F63BABEA6}">
  <ds:schemaRefs>
    <ds:schemaRef ds:uri="http://schemas.microsoft.com/sharepoint/v3/contenttype/forms"/>
  </ds:schemaRefs>
</ds:datastoreItem>
</file>

<file path=customXml/itemProps2.xml><?xml version="1.0" encoding="utf-8"?>
<ds:datastoreItem xmlns:ds="http://schemas.openxmlformats.org/officeDocument/2006/customXml" ds:itemID="{F173D9C7-0F37-4C36-90E3-B41E8F38DC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d546331-390f-411e-a7ff-3398a33e9ae4"/>
    <ds:schemaRef ds:uri="a9baf332-ec32-4d47-87ab-509753f806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9D4E15-4D80-4038-A60D-68A59980B5B5}">
  <ds:schemaRefs>
    <ds:schemaRef ds:uri="http://www.w3.org/XML/1998/namespace"/>
    <ds:schemaRef ds:uri="http://schemas.microsoft.com/office/infopath/2007/PartnerControls"/>
    <ds:schemaRef ds:uri="http://purl.org/dc/terms/"/>
    <ds:schemaRef ds:uri="http://purl.org/dc/dcmitype/"/>
    <ds:schemaRef ds:uri="1d546331-390f-411e-a7ff-3398a33e9ae4"/>
    <ds:schemaRef ds:uri="http://schemas.microsoft.com/office/2006/documentManagement/types"/>
    <ds:schemaRef ds:uri="http://purl.org/dc/elements/1.1/"/>
    <ds:schemaRef ds:uri="http://schemas.openxmlformats.org/package/2006/metadata/core-properties"/>
    <ds:schemaRef ds:uri="a9baf332-ec32-4d47-87ab-509753f806bb"/>
    <ds:schemaRef ds:uri="http://schemas.microsoft.com/sharepoint/v3"/>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3758</Words>
  <Characters>21421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Gedeon</dc:creator>
  <cp:keywords/>
  <cp:lastModifiedBy>Eva Gedeon</cp:lastModifiedBy>
  <cp:revision>3</cp:revision>
  <dcterms:created xsi:type="dcterms:W3CDTF">2018-10-18T08:26:00Z</dcterms:created>
  <dcterms:modified xsi:type="dcterms:W3CDTF">2018-10-18T14:11:00Z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0x01010047A034ABD141D14B89F0AF45E5E4F447</vt:lpwstr>
  </property>
</Properties>
</file>